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pStyle w:val="Heading1"/>
        <w:jc w:val="center"/>
      </w:pPr>
      <w:r>
        <w:rPr>
          <w:b/>
          <w:bCs/>
        </w:rPr>
        <w:t xml:space="preserve">Schedule of Oppressive Acts by Bradley Gishen</w:t>
      </w:r>
    </w:p>
    <w:p>
      <w:pPr>
        <w:spacing w:after="120"/>
        <w:jc w:val="center"/>
      </w:pPr>
      <w:r>
        <w:rPr>
          <w:i/>
          <w:iCs/>
          <w:sz w:val="22"/>
          <w:szCs w:val="22"/>
        </w:rPr>
        <w:t xml:space="preserve">Corporations Act 2001 (Cth), s 232 — Raw Mobility Pty Ltd</w:t>
      </w:r>
    </w:p>
    <w:p>
      <w:pPr>
        <w:spacing w:after="240"/>
        <w:jc w:val="center"/>
      </w:pPr>
      <w:r>
        <w:rPr>
          <w:color w:val="595959"/>
          <w:sz w:val="20"/>
          <w:szCs w:val="20"/>
        </w:rPr>
        <w:t xml:space="preserve">Shamir v Gishen &amp; Ors — Supreme Court of Victoria, Oppression Proceeding Program</w:t>
      </w:r>
    </w:p>
    <w:p>
      <w:pPr>
        <w:pStyle w:val="Heading2"/>
      </w:pPr>
      <w:r>
        <w:t xml:space="preserve">Legal framework</w:t>
      </w:r>
    </w:p>
    <w:p>
      <w:pPr>
        <w:spacing w:after="100"/>
      </w:pPr>
      <w:r>
        <w:rPr>
          <w:sz w:val="22"/>
          <w:szCs w:val="22"/>
        </w:rPr>
        <w:t xml:space="preserve">Section 232 of the Corporations Act 2001 (Cth) empowers the Court to make an order under s 233 where (a) the conduct of a company’s affairs, (b) an actual or proposed act or omission by or on behalf of the company, or (c) a resolution of members, is either (d) contrary to the interests of members as a whole, or (e) oppressive to, unfairly prejudicial to, or unfairly discriminatory against a member — whether in that capacity or in any other capacity.</w:t>
      </w:r>
    </w:p>
    <w:p>
      <w:pPr>
        <w:spacing w:after="100"/>
      </w:pPr>
      <w:r>
        <w:rPr>
          <w:sz w:val="22"/>
          <w:szCs w:val="22"/>
        </w:rPr>
        <w:t xml:space="preserve">The test is objective commercial unfairness (Wayde v NSW Rugby League Ltd (1985) 180 CLR 459; Campbell v Backoffice Investments P/L (2009) 238 CLR 304). Illegality or breach of fiduciary duty is not required but strengthens the claim (Re Spargos Mining NL (1990) 3 ACSR 1). Conduct is assessed as a whole — the cumulative effect of a pattern of unfairness is central, and the Court may find oppression from the combined effect of acts that, taken individually, would not be (Morgan v 45 Flers Ave P/L (1986) 10 ACLR 692 at 704; Jolan P/L v Essential Investments P/L (No 2) [2021] FCA 1533; Hylepin P/L v Doshay P/L [2021] FCAFC 201 at [133]–[136]). Wrongful exclusion from management is a recognised head of oppression (Catalano v Managing Australia Destinations P/L [2014] FCAFC 55 at [9]). Refusing to authorise financial statements, manipulating director salaries, and engaging in bullying have been expressly found to be oppressive (Munstermann v Rayward [2017] NSWSC 133, Stevenson J at [22]). Diversion of corporate opportunity to a competing entity controlled by a director is a paradigm category (Scottish Co-operative Wholesale Society Ltd v Meyer [1959] AC 324; Fexuto P/L v Bosnjak Holdings P/L [2001] NSWCA 97).</w:t>
      </w:r>
    </w:p>
    <w:p>
      <w:pPr>
        <w:spacing w:after="200"/>
      </w:pPr>
      <w:r>
        <w:rPr>
          <w:i/>
          <w:iCs/>
          <w:sz w:val="22"/>
          <w:szCs w:val="22"/>
        </w:rPr>
        <w:t xml:space="preserve">Each act below is (i) pleaded as an independent act of oppression; and (ii) relied on cumulatively as part of a single course of conduct by Brad Gishen, in his capacity as director of the Company and as controlling mind of the Marlau Trust (82%) and Mobivate Limited.</w:t>
      </w:r>
    </w:p>
    <w:p>
      <w:pPr>
        <w:pStyle w:val="Heading2"/>
      </w:pPr>
      <w:r>
        <w:t xml:space="preserve">Schedule</w:t>
      </w:r>
    </w:p>
    <w:tbl>
      <w:tblPr>
        <w:tblW w:type="dxa" w:w="14400"/>
        <w:tblBorders>
          <w:top w:val="single" w:color="auto" w:sz="4"/>
          <w:left w:val="single" w:color="auto" w:sz="4"/>
          <w:bottom w:val="single" w:color="auto" w:sz="4"/>
          <w:right w:val="single" w:color="auto" w:sz="4"/>
          <w:insideH w:val="single" w:color="auto" w:sz="4"/>
          <w:insideV w:val="single" w:color="auto" w:sz="4"/>
        </w:tblBorders>
      </w:tblPr>
      <w:tblGrid>
        <w:gridCol w:w="1600"/>
        <w:gridCol w:w="2600"/>
        <w:gridCol w:w="2800"/>
        <w:gridCol w:w="4600"/>
        <w:gridCol w:w="2800"/>
      </w:tblGrid>
      <w:tr>
        <w:trPr>
          <w:tblHeader/>
        </w:trPr>
        <w:tc>
          <w:tcPr>
            <w:tcW w:type="dxa" w:w="1600"/>
            <w:tcBorders>
              <w:top w:val="single" w:color="999999" w:sz="4"/>
              <w:left w:val="single" w:color="999999" w:sz="4"/>
              <w:bottom w:val="single" w:color="999999" w:sz="4"/>
              <w:right w:val="single" w:color="999999" w:sz="4"/>
            </w:tcBorders>
            <w:shd w:fill="1F3864" w:color="auto" w:val="clear"/>
            <w:tcMar>
              <w:top w:type="dxa" w:w="80"/>
              <w:left w:type="dxa" w:w="120"/>
              <w:bottom w:type="dxa" w:w="80"/>
              <w:right w:type="dxa" w:w="120"/>
            </w:tcMar>
          </w:tcPr>
          <w:p>
            <w:pPr>
              <w:spacing w:after="0" w:before="0"/>
            </w:pPr>
            <w:r>
              <w:rPr>
                <w:b/>
                <w:bCs/>
                <w:color w:val="FFFFFF"/>
                <w:sz w:val="20"/>
                <w:szCs w:val="20"/>
              </w:rPr>
              <w:t xml:space="preserve">Date</w:t>
            </w:r>
          </w:p>
        </w:tc>
        <w:tc>
          <w:tcPr>
            <w:tcW w:type="dxa" w:w="2600"/>
            <w:tcBorders>
              <w:top w:val="single" w:color="999999" w:sz="4"/>
              <w:left w:val="single" w:color="999999" w:sz="4"/>
              <w:bottom w:val="single" w:color="999999" w:sz="4"/>
              <w:right w:val="single" w:color="999999" w:sz="4"/>
            </w:tcBorders>
            <w:shd w:fill="1F3864" w:color="auto" w:val="clear"/>
            <w:tcMar>
              <w:top w:type="dxa" w:w="80"/>
              <w:left w:type="dxa" w:w="120"/>
              <w:bottom w:type="dxa" w:w="80"/>
              <w:right w:type="dxa" w:w="120"/>
            </w:tcMar>
          </w:tcPr>
          <w:p>
            <w:pPr>
              <w:spacing w:after="0" w:before="0"/>
            </w:pPr>
            <w:r>
              <w:rPr>
                <w:b/>
                <w:bCs/>
                <w:color w:val="FFFFFF"/>
                <w:sz w:val="20"/>
                <w:szCs w:val="20"/>
              </w:rPr>
              <w:t xml:space="preserve">Act / Omission</w:t>
            </w:r>
          </w:p>
        </w:tc>
        <w:tc>
          <w:tcPr>
            <w:tcW w:type="dxa" w:w="2800"/>
            <w:tcBorders>
              <w:top w:val="single" w:color="999999" w:sz="4"/>
              <w:left w:val="single" w:color="999999" w:sz="4"/>
              <w:bottom w:val="single" w:color="999999" w:sz="4"/>
              <w:right w:val="single" w:color="999999" w:sz="4"/>
            </w:tcBorders>
            <w:shd w:fill="1F3864" w:color="auto" w:val="clear"/>
            <w:tcMar>
              <w:top w:type="dxa" w:w="80"/>
              <w:left w:type="dxa" w:w="120"/>
              <w:bottom w:type="dxa" w:w="80"/>
              <w:right w:type="dxa" w:w="120"/>
            </w:tcMar>
          </w:tcPr>
          <w:p>
            <w:pPr>
              <w:spacing w:after="0" w:before="0"/>
            </w:pPr>
            <w:r>
              <w:rPr>
                <w:b/>
                <w:bCs/>
                <w:color w:val="FFFFFF"/>
                <w:sz w:val="20"/>
                <w:szCs w:val="20"/>
              </w:rPr>
              <w:t xml:space="preserve">Category of oppression under s 232</w:t>
            </w:r>
          </w:p>
        </w:tc>
        <w:tc>
          <w:tcPr>
            <w:tcW w:type="dxa" w:w="4600"/>
            <w:tcBorders>
              <w:top w:val="single" w:color="999999" w:sz="4"/>
              <w:left w:val="single" w:color="999999" w:sz="4"/>
              <w:bottom w:val="single" w:color="999999" w:sz="4"/>
              <w:right w:val="single" w:color="999999" w:sz="4"/>
            </w:tcBorders>
            <w:shd w:fill="1F3864" w:color="auto" w:val="clear"/>
            <w:tcMar>
              <w:top w:type="dxa" w:w="80"/>
              <w:left w:type="dxa" w:w="120"/>
              <w:bottom w:type="dxa" w:w="80"/>
              <w:right w:type="dxa" w:w="120"/>
            </w:tcMar>
          </w:tcPr>
          <w:p>
            <w:pPr>
              <w:spacing w:after="0" w:before="0"/>
            </w:pPr>
            <w:r>
              <w:rPr>
                <w:b/>
                <w:bCs/>
                <w:color w:val="FFFFFF"/>
                <w:sz w:val="20"/>
                <w:szCs w:val="20"/>
              </w:rPr>
              <w:t xml:space="preserve">Particulars</w:t>
            </w:r>
          </w:p>
        </w:tc>
        <w:tc>
          <w:tcPr>
            <w:tcW w:type="dxa" w:w="2800"/>
            <w:tcBorders>
              <w:top w:val="single" w:color="999999" w:sz="4"/>
              <w:left w:val="single" w:color="999999" w:sz="4"/>
              <w:bottom w:val="single" w:color="999999" w:sz="4"/>
              <w:right w:val="single" w:color="999999" w:sz="4"/>
            </w:tcBorders>
            <w:shd w:fill="1F3864" w:color="auto" w:val="clear"/>
            <w:tcMar>
              <w:top w:type="dxa" w:w="80"/>
              <w:left w:type="dxa" w:w="120"/>
              <w:bottom w:type="dxa" w:w="80"/>
              <w:right w:type="dxa" w:w="120"/>
            </w:tcMar>
          </w:tcPr>
          <w:p>
            <w:pPr>
              <w:spacing w:after="0" w:before="0"/>
            </w:pPr>
            <w:r>
              <w:rPr>
                <w:b/>
                <w:bCs/>
                <w:color w:val="FFFFFF"/>
                <w:sz w:val="20"/>
                <w:szCs w:val="20"/>
              </w:rPr>
              <w:t xml:space="preserve">Authority</w:t>
            </w:r>
          </w:p>
        </w:tc>
      </w:tr>
      <w:tr>
        <w:trPr>
          <w:cantSplit/>
        </w:trPr>
        <w:tc>
          <w:tcPr>
            <w:tcW w:type="dxa" w:w="1600"/>
            <w:tcBorders>
              <w:top w:val="single" w:color="999999" w:sz="4"/>
              <w:left w:val="single" w:color="999999" w:sz="4"/>
              <w:bottom w:val="single" w:color="999999" w:sz="4"/>
              <w:right w:val="single" w:color="999999" w:sz="4"/>
            </w:tcBorders>
            <w:tcMar>
              <w:top w:type="dxa" w:w="80"/>
              <w:left w:type="dxa" w:w="120"/>
              <w:bottom w:type="dxa" w:w="80"/>
              <w:right w:type="dxa" w:w="120"/>
            </w:tcMar>
          </w:tcPr>
          <w:p>
            <w:pPr>
              <w:spacing w:after="60" w:before="0"/>
              <w:jc w:val="left"/>
            </w:pPr>
            <w:r>
              <w:rPr>
                <w:b w:val="false"/>
                <w:bCs w:val="false"/>
                <w:i w:val="false"/>
                <w:iCs w:val="false"/>
                <w:color w:val="000000"/>
                <w:sz w:val="18"/>
                <w:szCs w:val="18"/>
              </w:rPr>
              <w:t xml:space="preserve">Nov 2012 – to date</w:t>
            </w:r>
          </w:p>
        </w:tc>
        <w:tc>
          <w:tcPr>
            <w:tcW w:type="dxa" w:w="2600"/>
            <w:tcBorders>
              <w:top w:val="single" w:color="999999" w:sz="4"/>
              <w:left w:val="single" w:color="999999" w:sz="4"/>
              <w:bottom w:val="single" w:color="999999" w:sz="4"/>
              <w:right w:val="single" w:color="999999" w:sz="4"/>
            </w:tcBorders>
            <w:tcMar>
              <w:top w:type="dxa" w:w="80"/>
              <w:left w:type="dxa" w:w="120"/>
              <w:bottom w:type="dxa" w:w="80"/>
              <w:right w:type="dxa" w:w="120"/>
            </w:tcMar>
          </w:tcPr>
          <w:p>
            <w:pPr>
              <w:spacing w:after="60" w:before="0"/>
              <w:jc w:val="left"/>
            </w:pPr>
            <w:r>
              <w:rPr>
                <w:b/>
                <w:bCs/>
                <w:i w:val="false"/>
                <w:iCs w:val="false"/>
                <w:color w:val="000000"/>
                <w:sz w:val="18"/>
                <w:szCs w:val="18"/>
              </w:rPr>
              <w:t xml:space="preserve">Imposition and subsequent repudiation of the 8.5% revenue-share arrangement</w:t>
            </w:r>
          </w:p>
        </w:tc>
        <w:tc>
          <w:tcPr>
            <w:tcW w:type="dxa" w:w="2800"/>
            <w:tcBorders>
              <w:top w:val="single" w:color="999999" w:sz="4"/>
              <w:left w:val="single" w:color="999999" w:sz="4"/>
              <w:bottom w:val="single" w:color="999999" w:sz="4"/>
              <w:right w:val="single" w:color="999999" w:sz="4"/>
            </w:tcBorders>
            <w:tcMar>
              <w:top w:type="dxa" w:w="80"/>
              <w:left w:type="dxa" w:w="120"/>
              <w:bottom w:type="dxa" w:w="80"/>
              <w:right w:type="dxa" w:w="120"/>
            </w:tcMar>
          </w:tcPr>
          <w:p>
            <w:pPr>
              <w:spacing w:after="60" w:before="0"/>
              <w:jc w:val="left"/>
            </w:pPr>
            <w:r>
              <w:rPr>
                <w:b w:val="false"/>
                <w:bCs w:val="false"/>
                <w:i w:val="false"/>
                <w:iCs w:val="false"/>
                <w:color w:val="000000"/>
                <w:sz w:val="18"/>
                <w:szCs w:val="18"/>
              </w:rPr>
              <w:t xml:space="preserve">Conduct contrary to interests of members as a whole (s 232(d))</w:t>
            </w:r>
          </w:p>
          <w:p>
            <w:pPr>
              <w:spacing w:after="60" w:before="0"/>
              <w:jc w:val="left"/>
            </w:pPr>
            <w:r>
              <w:rPr>
                <w:b w:val="false"/>
                <w:bCs w:val="false"/>
                <w:i w:val="false"/>
                <w:iCs w:val="false"/>
                <w:color w:val="000000"/>
                <w:sz w:val="18"/>
                <w:szCs w:val="18"/>
              </w:rPr>
              <w:t xml:space="preserve">Unfairly prejudicial to minority member (s 232(e))</w:t>
            </w:r>
          </w:p>
        </w:tc>
        <w:tc>
          <w:tcPr>
            <w:tcW w:type="dxa" w:w="4600"/>
            <w:tcBorders>
              <w:top w:val="single" w:color="999999" w:sz="4"/>
              <w:left w:val="single" w:color="999999" w:sz="4"/>
              <w:bottom w:val="single" w:color="999999" w:sz="4"/>
              <w:right w:val="single" w:color="999999" w:sz="4"/>
            </w:tcBorders>
            <w:tcMar>
              <w:top w:type="dxa" w:w="80"/>
              <w:left w:type="dxa" w:w="120"/>
              <w:bottom w:type="dxa" w:w="80"/>
              <w:right w:type="dxa" w:w="120"/>
            </w:tcMar>
          </w:tcPr>
          <w:p>
            <w:pPr>
              <w:spacing w:after="60" w:before="0"/>
              <w:jc w:val="left"/>
            </w:pPr>
            <w:r>
              <w:rPr>
                <w:b w:val="false"/>
                <w:bCs w:val="false"/>
                <w:i w:val="false"/>
                <w:iCs w:val="false"/>
                <w:color w:val="000000"/>
                <w:sz w:val="18"/>
                <w:szCs w:val="18"/>
              </w:rPr>
              <w:t xml:space="preserve">Brad (and Ari Berman) as majority shareholders imposed the 8.5% rate as the terms on which Mobivate would resell the Company's Blender product. Brad dictated the invoice format in Nov 2012 (“blender fee (i.e. the 8.5%)”) and confirmed the rate in writing repeatedly (Aug 2013 matrix; Apr 2017 “Ok great Lets do it”; May 2022 “already agreed upon 8.5%”; Feb 2025 and Aug 2025 calculations).</w:t>
            </w:r>
          </w:p>
          <w:p>
            <w:pPr>
              <w:spacing w:after="60" w:before="0"/>
              <w:jc w:val="left"/>
            </w:pPr>
            <w:r>
              <w:rPr>
                <w:b w:val="false"/>
                <w:bCs w:val="false"/>
                <w:i w:val="false"/>
                <w:iCs w:val="false"/>
                <w:color w:val="000000"/>
                <w:sz w:val="18"/>
                <w:szCs w:val="18"/>
              </w:rPr>
              <w:t xml:space="preserve">Through SBA Law, Brad now denies any agreed 8.5% and recharacterises Mobivate as an arm’s-length customer free to change suppliers. The repudiation of a 13-year operative billing formula, while simultaneously continuing to use it for Brad’s own purposes, is a departure from the standards of fair dealing reasonable shareholders were entitled to expect.</w:t>
            </w:r>
          </w:p>
        </w:tc>
        <w:tc>
          <w:tcPr>
            <w:tcW w:type="dxa" w:w="2800"/>
            <w:tcBorders>
              <w:top w:val="single" w:color="999999" w:sz="4"/>
              <w:left w:val="single" w:color="999999" w:sz="4"/>
              <w:bottom w:val="single" w:color="999999" w:sz="4"/>
              <w:right w:val="single" w:color="999999" w:sz="4"/>
            </w:tcBorders>
            <w:tcMar>
              <w:top w:type="dxa" w:w="80"/>
              <w:left w:type="dxa" w:w="120"/>
              <w:bottom w:type="dxa" w:w="80"/>
              <w:right w:type="dxa" w:w="120"/>
            </w:tcMar>
          </w:tcPr>
          <w:p>
            <w:pPr>
              <w:spacing w:after="60" w:before="0"/>
              <w:jc w:val="left"/>
            </w:pPr>
            <w:r>
              <w:rPr>
                <w:i/>
                <w:iCs/>
                <w:sz w:val="18"/>
                <w:szCs w:val="18"/>
              </w:rPr>
              <w:t xml:space="preserve">Morgan v 45 Flers Ave P/L (1986) 10 ACLR 692</w:t>
            </w:r>
            <w:r>
              <w:rPr>
                <w:sz w:val="18"/>
                <w:szCs w:val="18"/>
              </w:rPr>
              <w:t xml:space="preserve"> — unfairness central; cumulative assessment</w:t>
            </w:r>
          </w:p>
          <w:p>
            <w:pPr>
              <w:spacing w:after="60" w:before="0"/>
              <w:jc w:val="left"/>
            </w:pPr>
            <w:r>
              <w:rPr>
                <w:i/>
                <w:iCs/>
                <w:sz w:val="18"/>
                <w:szCs w:val="18"/>
              </w:rPr>
              <w:t xml:space="preserve">Ubertini v Saeco International Group SpA (No 4) [2014] VSC 47</w:t>
            </w:r>
            <w:r>
              <w:rPr>
                <w:sz w:val="18"/>
                <w:szCs w:val="18"/>
              </w:rPr>
              <w:t xml:space="preserve"> — commercial unfairness; departure from standards of fair dealing</w:t>
            </w:r>
          </w:p>
          <w:p>
            <w:pPr>
              <w:spacing w:after="60" w:before="0"/>
              <w:jc w:val="left"/>
            </w:pPr>
            <w:r>
              <w:rPr>
                <w:i/>
                <w:iCs/>
                <w:sz w:val="18"/>
                <w:szCs w:val="18"/>
              </w:rPr>
              <w:t xml:space="preserve">Campbell v Backoffice Investments P/L (2009) 238 CLR 304</w:t>
            </w:r>
            <w:r>
              <w:rPr>
                <w:sz w:val="18"/>
                <w:szCs w:val="18"/>
              </w:rPr>
              <w:t xml:space="preserve"> — test: would objective bystander regard conduct as unfair</w:t>
            </w:r>
          </w:p>
        </w:tc>
      </w:tr>
      <w:tr>
        <w:trPr>
          <w:cantSplit/>
        </w:trPr>
        <w:tc>
          <w:tcPr>
            <w:tcW w:type="dxa" w:w="1600"/>
            <w:tcBorders>
              <w:top w:val="single" w:color="999999" w:sz="4"/>
              <w:left w:val="single" w:color="999999" w:sz="4"/>
              <w:bottom w:val="single" w:color="999999" w:sz="4"/>
              <w:right w:val="single" w:color="999999" w:sz="4"/>
            </w:tcBorders>
            <w:shd w:fill="F2F2F2" w:color="auto" w:val="clear"/>
            <w:tcMar>
              <w:top w:type="dxa" w:w="80"/>
              <w:left w:type="dxa" w:w="120"/>
              <w:bottom w:type="dxa" w:w="80"/>
              <w:right w:type="dxa" w:w="120"/>
            </w:tcMar>
          </w:tcPr>
          <w:p>
            <w:pPr>
              <w:spacing w:after="60" w:before="0"/>
              <w:jc w:val="left"/>
            </w:pPr>
            <w:r>
              <w:rPr>
                <w:b w:val="false"/>
                <w:bCs w:val="false"/>
                <w:i w:val="false"/>
                <w:iCs w:val="false"/>
                <w:color w:val="000000"/>
                <w:sz w:val="18"/>
                <w:szCs w:val="18"/>
              </w:rPr>
              <w:t xml:space="preserve">2013 – 2025</w:t>
            </w:r>
          </w:p>
        </w:tc>
        <w:tc>
          <w:tcPr>
            <w:tcW w:type="dxa" w:w="2600"/>
            <w:tcBorders>
              <w:top w:val="single" w:color="999999" w:sz="4"/>
              <w:left w:val="single" w:color="999999" w:sz="4"/>
              <w:bottom w:val="single" w:color="999999" w:sz="4"/>
              <w:right w:val="single" w:color="999999" w:sz="4"/>
            </w:tcBorders>
            <w:shd w:fill="F2F2F2" w:color="auto" w:val="clear"/>
            <w:tcMar>
              <w:top w:type="dxa" w:w="80"/>
              <w:left w:type="dxa" w:w="120"/>
              <w:bottom w:type="dxa" w:w="80"/>
              <w:right w:type="dxa" w:w="120"/>
            </w:tcMar>
          </w:tcPr>
          <w:p>
            <w:pPr>
              <w:spacing w:after="60" w:before="0"/>
              <w:jc w:val="left"/>
            </w:pPr>
            <w:r>
              <w:rPr>
                <w:b/>
                <w:bCs/>
                <w:i w:val="false"/>
                <w:iCs w:val="false"/>
                <w:color w:val="000000"/>
                <w:sz w:val="18"/>
                <w:szCs w:val="18"/>
              </w:rPr>
              <w:t xml:space="preserve">Director’s self-dealing / standing conflict of interest with competing company</w:t>
            </w:r>
          </w:p>
        </w:tc>
        <w:tc>
          <w:tcPr>
            <w:tcW w:type="dxa" w:w="2800"/>
            <w:tcBorders>
              <w:top w:val="single" w:color="999999" w:sz="4"/>
              <w:left w:val="single" w:color="999999" w:sz="4"/>
              <w:bottom w:val="single" w:color="999999" w:sz="4"/>
              <w:right w:val="single" w:color="999999" w:sz="4"/>
            </w:tcBorders>
            <w:shd w:fill="F2F2F2" w:color="auto" w:val="clear"/>
            <w:tcMar>
              <w:top w:type="dxa" w:w="80"/>
              <w:left w:type="dxa" w:w="120"/>
              <w:bottom w:type="dxa" w:w="80"/>
              <w:right w:type="dxa" w:w="120"/>
            </w:tcMar>
          </w:tcPr>
          <w:p>
            <w:pPr>
              <w:spacing w:after="60" w:before="0"/>
              <w:jc w:val="left"/>
            </w:pPr>
            <w:r>
              <w:rPr>
                <w:b w:val="false"/>
                <w:bCs w:val="false"/>
                <w:i w:val="false"/>
                <w:iCs w:val="false"/>
                <w:color w:val="000000"/>
                <w:sz w:val="18"/>
                <w:szCs w:val="18"/>
              </w:rPr>
              <w:t xml:space="preserve">Breach of fiduciary duty giving rise to oppression (s 232(a), (e))</w:t>
            </w:r>
          </w:p>
          <w:p>
            <w:pPr>
              <w:spacing w:after="60" w:before="0"/>
              <w:jc w:val="left"/>
            </w:pPr>
            <w:r>
              <w:rPr>
                <w:b w:val="false"/>
                <w:bCs w:val="false"/>
                <w:i w:val="false"/>
                <w:iCs w:val="false"/>
                <w:color w:val="000000"/>
                <w:sz w:val="18"/>
                <w:szCs w:val="18"/>
              </w:rPr>
              <w:t xml:space="preserve">Related-party conduct benefiting majority at minority’s expense</w:t>
            </w:r>
          </w:p>
        </w:tc>
        <w:tc>
          <w:tcPr>
            <w:tcW w:type="dxa" w:w="4600"/>
            <w:tcBorders>
              <w:top w:val="single" w:color="999999" w:sz="4"/>
              <w:left w:val="single" w:color="999999" w:sz="4"/>
              <w:bottom w:val="single" w:color="999999" w:sz="4"/>
              <w:right w:val="single" w:color="999999" w:sz="4"/>
            </w:tcBorders>
            <w:shd w:fill="F2F2F2" w:color="auto" w:val="clear"/>
            <w:tcMar>
              <w:top w:type="dxa" w:w="80"/>
              <w:left w:type="dxa" w:w="120"/>
              <w:bottom w:type="dxa" w:w="80"/>
              <w:right w:type="dxa" w:w="120"/>
            </w:tcMar>
          </w:tcPr>
          <w:p>
            <w:pPr>
              <w:spacing w:after="60" w:before="0"/>
              <w:jc w:val="left"/>
            </w:pPr>
            <w:r>
              <w:rPr>
                <w:b w:val="false"/>
                <w:bCs w:val="false"/>
                <w:i w:val="false"/>
                <w:iCs w:val="false"/>
                <w:color w:val="000000"/>
                <w:sz w:val="18"/>
                <w:szCs w:val="18"/>
              </w:rPr>
              <w:t xml:space="preserve">Brad was simultaneously director of the Company and director and controlling mind of Mobivate, the Company’s principal customer and (from mid-2025) its direct competitor. On 29 Aug 2013 and again on 19 Jan 2018 Brad expressly refused non-compete arrangements for Mobivate (“it could damage its entire biz”; “Mbvt built the new ui from scratch… so it’s already competitive”), consciously preserving Mobivate’s ability to compete.</w:t>
            </w:r>
          </w:p>
          <w:p>
            <w:pPr>
              <w:spacing w:after="60" w:before="0"/>
              <w:jc w:val="left"/>
            </w:pPr>
            <w:r>
              <w:rPr>
                <w:b w:val="false"/>
                <w:bCs w:val="false"/>
                <w:i w:val="false"/>
                <w:iCs w:val="false"/>
                <w:color w:val="000000"/>
                <w:sz w:val="18"/>
                <w:szCs w:val="18"/>
              </w:rPr>
              <w:t xml:space="preserve">On 29 Dec 2025 Brad declared in writing that he acts “as director of Raw Mobility and on behalf of Marlau Trust and Mobivate Limited” — an express written admission of simultaneous representation of competing interests.</w:t>
            </w:r>
          </w:p>
        </w:tc>
        <w:tc>
          <w:tcPr>
            <w:tcW w:type="dxa" w:w="2800"/>
            <w:tcBorders>
              <w:top w:val="single" w:color="999999" w:sz="4"/>
              <w:left w:val="single" w:color="999999" w:sz="4"/>
              <w:bottom w:val="single" w:color="999999" w:sz="4"/>
              <w:right w:val="single" w:color="999999" w:sz="4"/>
            </w:tcBorders>
            <w:shd w:fill="F2F2F2" w:color="auto" w:val="clear"/>
            <w:tcMar>
              <w:top w:type="dxa" w:w="80"/>
              <w:left w:type="dxa" w:w="120"/>
              <w:bottom w:type="dxa" w:w="80"/>
              <w:right w:type="dxa" w:w="120"/>
            </w:tcMar>
          </w:tcPr>
          <w:p>
            <w:pPr>
              <w:spacing w:after="60" w:before="0"/>
              <w:jc w:val="left"/>
            </w:pPr>
            <w:r>
              <w:rPr>
                <w:i/>
                <w:iCs/>
                <w:sz w:val="18"/>
                <w:szCs w:val="18"/>
              </w:rPr>
              <w:t xml:space="preserve">Scottish Co-operative Wholesale Society Ltd v Meyer [1959] AC 324</w:t>
            </w:r>
            <w:r>
              <w:rPr>
                <w:sz w:val="18"/>
                <w:szCs w:val="18"/>
              </w:rPr>
              <w:t xml:space="preserve"> — burdensome, harsh and wrongful; parent diverting business from subsidiary</w:t>
            </w:r>
          </w:p>
          <w:p>
            <w:pPr>
              <w:spacing w:after="60" w:before="0"/>
              <w:jc w:val="left"/>
            </w:pPr>
            <w:r>
              <w:rPr>
                <w:i/>
                <w:iCs/>
                <w:sz w:val="18"/>
                <w:szCs w:val="18"/>
              </w:rPr>
              <w:t xml:space="preserve">Fexuto P/L v Bosnjak Holdings P/L [2001] NSWCA 97</w:t>
            </w:r>
            <w:r>
              <w:rPr>
                <w:sz w:val="18"/>
                <w:szCs w:val="18"/>
              </w:rPr>
              <w:t xml:space="preserve"> — diversion of corporate opportunity by director to competing entity</w:t>
            </w:r>
          </w:p>
          <w:p>
            <w:pPr>
              <w:spacing w:after="60" w:before="0"/>
              <w:jc w:val="left"/>
            </w:pPr>
            <w:r>
              <w:rPr>
                <w:i/>
                <w:iCs/>
                <w:sz w:val="18"/>
                <w:szCs w:val="18"/>
              </w:rPr>
              <w:t xml:space="preserve">Ubertini v Saeco International Group SpA (No 4) [2014] VSC 47</w:t>
            </w:r>
            <w:r>
              <w:rPr>
                <w:sz w:val="18"/>
                <w:szCs w:val="18"/>
              </w:rPr>
              <w:t xml:space="preserve"> — commercial unfairness; departure from standards of fair dealing</w:t>
            </w:r>
          </w:p>
        </w:tc>
      </w:tr>
      <w:tr>
        <w:trPr>
          <w:cantSplit/>
        </w:trPr>
        <w:tc>
          <w:tcPr>
            <w:tcW w:type="dxa" w:w="1600"/>
            <w:tcBorders>
              <w:top w:val="single" w:color="999999" w:sz="4"/>
              <w:left w:val="single" w:color="999999" w:sz="4"/>
              <w:bottom w:val="single" w:color="999999" w:sz="4"/>
              <w:right w:val="single" w:color="999999" w:sz="4"/>
            </w:tcBorders>
            <w:tcMar>
              <w:top w:type="dxa" w:w="80"/>
              <w:left w:type="dxa" w:w="120"/>
              <w:bottom w:type="dxa" w:w="80"/>
              <w:right w:type="dxa" w:w="120"/>
            </w:tcMar>
          </w:tcPr>
          <w:p>
            <w:pPr>
              <w:spacing w:after="60" w:before="0"/>
              <w:jc w:val="left"/>
            </w:pPr>
            <w:r>
              <w:rPr>
                <w:b w:val="false"/>
                <w:bCs w:val="false"/>
                <w:i w:val="false"/>
                <w:iCs w:val="false"/>
                <w:color w:val="000000"/>
                <w:sz w:val="18"/>
                <w:szCs w:val="18"/>
              </w:rPr>
              <w:t xml:space="preserve">Jan–Feb 2022</w:t>
            </w:r>
          </w:p>
        </w:tc>
        <w:tc>
          <w:tcPr>
            <w:tcW w:type="dxa" w:w="2600"/>
            <w:tcBorders>
              <w:top w:val="single" w:color="999999" w:sz="4"/>
              <w:left w:val="single" w:color="999999" w:sz="4"/>
              <w:bottom w:val="single" w:color="999999" w:sz="4"/>
              <w:right w:val="single" w:color="999999" w:sz="4"/>
            </w:tcBorders>
            <w:tcMar>
              <w:top w:type="dxa" w:w="80"/>
              <w:left w:type="dxa" w:w="120"/>
              <w:bottom w:type="dxa" w:w="80"/>
              <w:right w:type="dxa" w:w="120"/>
            </w:tcMar>
          </w:tcPr>
          <w:p>
            <w:pPr>
              <w:spacing w:after="60" w:before="0"/>
              <w:jc w:val="left"/>
            </w:pPr>
            <w:r>
              <w:rPr>
                <w:b/>
                <w:bCs/>
                <w:i w:val="false"/>
                <w:iCs w:val="false"/>
                <w:color w:val="000000"/>
                <w:sz w:val="18"/>
                <w:szCs w:val="18"/>
              </w:rPr>
              <w:t xml:space="preserve">Presentation of the Company’s technology under Mobivate’s brand (Optimove “tech deep dive”)</w:t>
            </w:r>
          </w:p>
        </w:tc>
        <w:tc>
          <w:tcPr>
            <w:tcW w:type="dxa" w:w="2800"/>
            <w:tcBorders>
              <w:top w:val="single" w:color="999999" w:sz="4"/>
              <w:left w:val="single" w:color="999999" w:sz="4"/>
              <w:bottom w:val="single" w:color="999999" w:sz="4"/>
              <w:right w:val="single" w:color="999999" w:sz="4"/>
            </w:tcBorders>
            <w:tcMar>
              <w:top w:type="dxa" w:w="80"/>
              <w:left w:type="dxa" w:w="120"/>
              <w:bottom w:type="dxa" w:w="80"/>
              <w:right w:type="dxa" w:w="120"/>
            </w:tcMar>
          </w:tcPr>
          <w:p>
            <w:pPr>
              <w:spacing w:after="60" w:before="0"/>
              <w:jc w:val="left"/>
            </w:pPr>
            <w:r>
              <w:rPr>
                <w:b w:val="false"/>
                <w:bCs w:val="false"/>
                <w:i w:val="false"/>
                <w:iCs w:val="false"/>
                <w:color w:val="000000"/>
                <w:sz w:val="18"/>
                <w:szCs w:val="18"/>
              </w:rPr>
              <w:t xml:space="preserve">Conduct contrary to interests of members as a whole (s 232(d))</w:t>
            </w:r>
          </w:p>
          <w:p>
            <w:pPr>
              <w:spacing w:after="60" w:before="0"/>
              <w:jc w:val="left"/>
            </w:pPr>
            <w:r>
              <w:rPr>
                <w:b w:val="false"/>
                <w:bCs w:val="false"/>
                <w:i w:val="false"/>
                <w:iCs w:val="false"/>
                <w:color w:val="000000"/>
                <w:sz w:val="18"/>
                <w:szCs w:val="18"/>
              </w:rPr>
              <w:t xml:space="preserve">Diversion of corporate opportunity / goodwill</w:t>
            </w:r>
          </w:p>
        </w:tc>
        <w:tc>
          <w:tcPr>
            <w:tcW w:type="dxa" w:w="4600"/>
            <w:tcBorders>
              <w:top w:val="single" w:color="999999" w:sz="4"/>
              <w:left w:val="single" w:color="999999" w:sz="4"/>
              <w:bottom w:val="single" w:color="999999" w:sz="4"/>
              <w:right w:val="single" w:color="999999" w:sz="4"/>
            </w:tcBorders>
            <w:tcMar>
              <w:top w:type="dxa" w:w="80"/>
              <w:left w:type="dxa" w:w="120"/>
              <w:bottom w:type="dxa" w:w="80"/>
              <w:right w:type="dxa" w:w="120"/>
            </w:tcMar>
          </w:tcPr>
          <w:p>
            <w:pPr>
              <w:spacing w:after="60" w:before="0"/>
              <w:jc w:val="left"/>
            </w:pPr>
            <w:r>
              <w:rPr>
                <w:b w:val="false"/>
                <w:bCs w:val="false"/>
                <w:i w:val="false"/>
                <w:iCs w:val="false"/>
                <w:color w:val="000000"/>
                <w:sz w:val="18"/>
                <w:szCs w:val="18"/>
              </w:rPr>
              <w:t xml:space="preserve">At Brad’s direction, 19-slide deck titled “Mobivate Tech Deep Dive” was presented to Optimove CEO Pini Yakuel and Director of Bizops Yael Spector. The technology shown — Blender architecture, tech stack, volumes, monitoring dashboards, JIRA tickets — was entirely the Company’s IP. The Company was not identified as owner. Asaf was invited under his Mobivate email.</w:t>
            </w:r>
          </w:p>
          <w:p>
            <w:pPr>
              <w:spacing w:after="60" w:before="0"/>
              <w:jc w:val="left"/>
            </w:pPr>
            <w:r>
              <w:rPr>
                <w:b w:val="false"/>
                <w:bCs w:val="false"/>
                <w:i w:val="false"/>
                <w:iCs w:val="false"/>
                <w:color w:val="000000"/>
                <w:sz w:val="18"/>
                <w:szCs w:val="18"/>
              </w:rPr>
              <w:t xml:space="preserve">The deliberate presentation of the Company’s platform, goodwill and technical capability as Mobivate’s own, to a major integration partner, laid the groundwork for the subsequent diversion of customer relationships and constitutes conduct by a director contrary to the interests of members as a whole.</w:t>
            </w:r>
          </w:p>
        </w:tc>
        <w:tc>
          <w:tcPr>
            <w:tcW w:type="dxa" w:w="2800"/>
            <w:tcBorders>
              <w:top w:val="single" w:color="999999" w:sz="4"/>
              <w:left w:val="single" w:color="999999" w:sz="4"/>
              <w:bottom w:val="single" w:color="999999" w:sz="4"/>
              <w:right w:val="single" w:color="999999" w:sz="4"/>
            </w:tcBorders>
            <w:tcMar>
              <w:top w:type="dxa" w:w="80"/>
              <w:left w:type="dxa" w:w="120"/>
              <w:bottom w:type="dxa" w:w="80"/>
              <w:right w:type="dxa" w:w="120"/>
            </w:tcMar>
          </w:tcPr>
          <w:p>
            <w:pPr>
              <w:spacing w:after="60" w:before="0"/>
              <w:jc w:val="left"/>
            </w:pPr>
            <w:r>
              <w:rPr>
                <w:i/>
                <w:iCs/>
                <w:sz w:val="18"/>
                <w:szCs w:val="18"/>
              </w:rPr>
              <w:t xml:space="preserve">Scottish Co-operative Wholesale Society Ltd v Meyer [1959] AC 324</w:t>
            </w:r>
            <w:r>
              <w:rPr>
                <w:sz w:val="18"/>
                <w:szCs w:val="18"/>
              </w:rPr>
              <w:t xml:space="preserve"> — burdensome, harsh and wrongful; parent diverting business from subsidiary</w:t>
            </w:r>
          </w:p>
          <w:p>
            <w:pPr>
              <w:spacing w:after="60" w:before="0"/>
              <w:jc w:val="left"/>
            </w:pPr>
            <w:r>
              <w:rPr>
                <w:i/>
                <w:iCs/>
                <w:sz w:val="18"/>
                <w:szCs w:val="18"/>
              </w:rPr>
              <w:t xml:space="preserve">Fexuto P/L v Bosnjak Holdings P/L [2001] NSWCA 97</w:t>
            </w:r>
            <w:r>
              <w:rPr>
                <w:sz w:val="18"/>
                <w:szCs w:val="18"/>
              </w:rPr>
              <w:t xml:space="preserve"> — diversion of corporate opportunity by director to competing entity</w:t>
            </w:r>
          </w:p>
        </w:tc>
      </w:tr>
      <w:tr>
        <w:trPr>
          <w:cantSplit/>
        </w:trPr>
        <w:tc>
          <w:tcPr>
            <w:tcW w:type="dxa" w:w="1600"/>
            <w:tcBorders>
              <w:top w:val="single" w:color="999999" w:sz="4"/>
              <w:left w:val="single" w:color="999999" w:sz="4"/>
              <w:bottom w:val="single" w:color="999999" w:sz="4"/>
              <w:right w:val="single" w:color="999999" w:sz="4"/>
            </w:tcBorders>
            <w:shd w:fill="F2F2F2" w:color="auto" w:val="clear"/>
            <w:tcMar>
              <w:top w:type="dxa" w:w="80"/>
              <w:left w:type="dxa" w:w="120"/>
              <w:bottom w:type="dxa" w:w="80"/>
              <w:right w:type="dxa" w:w="120"/>
            </w:tcMar>
          </w:tcPr>
          <w:p>
            <w:pPr>
              <w:spacing w:after="60" w:before="0"/>
              <w:jc w:val="left"/>
            </w:pPr>
            <w:r>
              <w:rPr>
                <w:b w:val="false"/>
                <w:bCs w:val="false"/>
                <w:i w:val="false"/>
                <w:iCs w:val="false"/>
                <w:color w:val="000000"/>
                <w:sz w:val="18"/>
                <w:szCs w:val="18"/>
              </w:rPr>
              <w:t xml:space="preserve">14 Jan 2025</w:t>
            </w:r>
          </w:p>
        </w:tc>
        <w:tc>
          <w:tcPr>
            <w:tcW w:type="dxa" w:w="2600"/>
            <w:tcBorders>
              <w:top w:val="single" w:color="999999" w:sz="4"/>
              <w:left w:val="single" w:color="999999" w:sz="4"/>
              <w:bottom w:val="single" w:color="999999" w:sz="4"/>
              <w:right w:val="single" w:color="999999" w:sz="4"/>
            </w:tcBorders>
            <w:shd w:fill="F2F2F2" w:color="auto" w:val="clear"/>
            <w:tcMar>
              <w:top w:type="dxa" w:w="80"/>
              <w:left w:type="dxa" w:w="120"/>
              <w:bottom w:type="dxa" w:w="80"/>
              <w:right w:type="dxa" w:w="120"/>
            </w:tcMar>
          </w:tcPr>
          <w:p>
            <w:pPr>
              <w:spacing w:after="60" w:before="0"/>
              <w:jc w:val="left"/>
            </w:pPr>
            <w:r>
              <w:rPr>
                <w:b/>
                <w:bCs/>
                <w:i w:val="false"/>
                <w:iCs w:val="false"/>
                <w:color w:val="000000"/>
                <w:sz w:val="18"/>
                <w:szCs w:val="18"/>
              </w:rPr>
              <w:t xml:space="preserve">Admitted instruction to deceive customers as to corporate identity</w:t>
            </w:r>
          </w:p>
        </w:tc>
        <w:tc>
          <w:tcPr>
            <w:tcW w:type="dxa" w:w="2800"/>
            <w:tcBorders>
              <w:top w:val="single" w:color="999999" w:sz="4"/>
              <w:left w:val="single" w:color="999999" w:sz="4"/>
              <w:bottom w:val="single" w:color="999999" w:sz="4"/>
              <w:right w:val="single" w:color="999999" w:sz="4"/>
            </w:tcBorders>
            <w:shd w:fill="F2F2F2" w:color="auto" w:val="clear"/>
            <w:tcMar>
              <w:top w:type="dxa" w:w="80"/>
              <w:left w:type="dxa" w:w="120"/>
              <w:bottom w:type="dxa" w:w="80"/>
              <w:right w:type="dxa" w:w="120"/>
            </w:tcMar>
          </w:tcPr>
          <w:p>
            <w:pPr>
              <w:spacing w:after="60" w:before="0"/>
              <w:jc w:val="left"/>
            </w:pPr>
            <w:r>
              <w:rPr>
                <w:b w:val="false"/>
                <w:bCs w:val="false"/>
                <w:i w:val="false"/>
                <w:iCs w:val="false"/>
                <w:color w:val="000000"/>
                <w:sz w:val="18"/>
                <w:szCs w:val="18"/>
              </w:rPr>
              <w:t xml:space="preserve">Conduct contrary to interests of members as a whole (s 232(d))</w:t>
            </w:r>
          </w:p>
          <w:p>
            <w:pPr>
              <w:spacing w:after="60" w:before="0"/>
              <w:jc w:val="left"/>
            </w:pPr>
            <w:r>
              <w:rPr>
                <w:b w:val="false"/>
                <w:bCs w:val="false"/>
                <w:i w:val="false"/>
                <w:iCs w:val="false"/>
                <w:color w:val="000000"/>
                <w:sz w:val="18"/>
                <w:szCs w:val="18"/>
              </w:rPr>
              <w:t xml:space="preserve">Cumulative oppressive pattern (s 232(e))</w:t>
            </w:r>
          </w:p>
        </w:tc>
        <w:tc>
          <w:tcPr>
            <w:tcW w:type="dxa" w:w="4600"/>
            <w:tcBorders>
              <w:top w:val="single" w:color="999999" w:sz="4"/>
              <w:left w:val="single" w:color="999999" w:sz="4"/>
              <w:bottom w:val="single" w:color="999999" w:sz="4"/>
              <w:right w:val="single" w:color="999999" w:sz="4"/>
            </w:tcBorders>
            <w:shd w:fill="F2F2F2" w:color="auto" w:val="clear"/>
            <w:tcMar>
              <w:top w:type="dxa" w:w="80"/>
              <w:left w:type="dxa" w:w="120"/>
              <w:bottom w:type="dxa" w:w="80"/>
              <w:right w:type="dxa" w:w="120"/>
            </w:tcMar>
          </w:tcPr>
          <w:p>
            <w:pPr>
              <w:spacing w:after="60" w:before="0"/>
              <w:jc w:val="left"/>
            </w:pPr>
            <w:r>
              <w:rPr>
                <w:b w:val="false"/>
                <w:bCs w:val="false"/>
                <w:i w:val="false"/>
                <w:iCs w:val="false"/>
                <w:color w:val="000000"/>
                <w:sz w:val="18"/>
                <w:szCs w:val="18"/>
              </w:rPr>
              <w:t xml:space="preserve">Brad instructed Asaf in WhatsApp: “Tell clients you a completely different company &amp; unrelated to mbvt… these big corporations can tick their little box.” Brad thereby admitted that the customer-deception pattern was deliberate and instrumental to retaining customer relationships that, in substance, belonged to the Company.</w:t>
            </w:r>
          </w:p>
          <w:p>
            <w:pPr>
              <w:spacing w:after="60" w:before="0"/>
              <w:jc w:val="left"/>
            </w:pPr>
            <w:r>
              <w:rPr>
                <w:b w:val="false"/>
                <w:bCs w:val="false"/>
                <w:i w:val="false"/>
                <w:iCs w:val="false"/>
                <w:color w:val="000000"/>
                <w:sz w:val="18"/>
                <w:szCs w:val="18"/>
              </w:rPr>
              <w:t xml:space="preserve">This admission crystallised the masking pattern as conduct of the Company’s affairs and is probative of Brad’s intent in the subsequent diversion.</w:t>
            </w:r>
          </w:p>
        </w:tc>
        <w:tc>
          <w:tcPr>
            <w:tcW w:type="dxa" w:w="2800"/>
            <w:tcBorders>
              <w:top w:val="single" w:color="999999" w:sz="4"/>
              <w:left w:val="single" w:color="999999" w:sz="4"/>
              <w:bottom w:val="single" w:color="999999" w:sz="4"/>
              <w:right w:val="single" w:color="999999" w:sz="4"/>
            </w:tcBorders>
            <w:shd w:fill="F2F2F2" w:color="auto" w:val="clear"/>
            <w:tcMar>
              <w:top w:type="dxa" w:w="80"/>
              <w:left w:type="dxa" w:w="120"/>
              <w:bottom w:type="dxa" w:w="80"/>
              <w:right w:type="dxa" w:w="120"/>
            </w:tcMar>
          </w:tcPr>
          <w:p>
            <w:pPr>
              <w:spacing w:after="60" w:before="0"/>
              <w:jc w:val="left"/>
            </w:pPr>
            <w:r>
              <w:rPr>
                <w:i/>
                <w:iCs/>
                <w:sz w:val="18"/>
                <w:szCs w:val="18"/>
              </w:rPr>
              <w:t xml:space="preserve">Jolan P/L v Essential Investments P/L (No 2) [2021] FCA 1533</w:t>
            </w:r>
            <w:r>
              <w:rPr>
                <w:sz w:val="18"/>
                <w:szCs w:val="18"/>
              </w:rPr>
              <w:t xml:space="preserve"> — cumulative pattern of conduct; 'unfairness adds up' (Downes J)</w:t>
            </w:r>
          </w:p>
          <w:p>
            <w:pPr>
              <w:spacing w:after="60" w:before="0"/>
              <w:jc w:val="left"/>
            </w:pPr>
            <w:r>
              <w:rPr>
                <w:i/>
                <w:iCs/>
                <w:sz w:val="18"/>
                <w:szCs w:val="18"/>
              </w:rPr>
              <w:t xml:space="preserve">Morgan v 45 Flers Ave P/L (1986) 10 ACLR 692</w:t>
            </w:r>
            <w:r>
              <w:rPr>
                <w:sz w:val="18"/>
                <w:szCs w:val="18"/>
              </w:rPr>
              <w:t xml:space="preserve"> — unfairness central; cumulative assessment</w:t>
            </w:r>
          </w:p>
        </w:tc>
      </w:tr>
      <w:tr>
        <w:trPr>
          <w:cantSplit/>
        </w:trPr>
        <w:tc>
          <w:tcPr>
            <w:tcW w:type="dxa" w:w="1600"/>
            <w:tcBorders>
              <w:top w:val="single" w:color="999999" w:sz="4"/>
              <w:left w:val="single" w:color="999999" w:sz="4"/>
              <w:bottom w:val="single" w:color="999999" w:sz="4"/>
              <w:right w:val="single" w:color="999999" w:sz="4"/>
            </w:tcBorders>
            <w:tcMar>
              <w:top w:type="dxa" w:w="80"/>
              <w:left w:type="dxa" w:w="120"/>
              <w:bottom w:type="dxa" w:w="80"/>
              <w:right w:type="dxa" w:w="120"/>
            </w:tcMar>
          </w:tcPr>
          <w:p>
            <w:pPr>
              <w:spacing w:after="60" w:before="0"/>
              <w:jc w:val="left"/>
            </w:pPr>
            <w:r>
              <w:rPr>
                <w:b w:val="false"/>
                <w:bCs w:val="false"/>
                <w:i w:val="false"/>
                <w:iCs w:val="false"/>
                <w:color w:val="000000"/>
                <w:sz w:val="18"/>
                <w:szCs w:val="18"/>
              </w:rPr>
              <w:t xml:space="preserve">3 May 2025</w:t>
            </w:r>
          </w:p>
        </w:tc>
        <w:tc>
          <w:tcPr>
            <w:tcW w:type="dxa" w:w="2600"/>
            <w:tcBorders>
              <w:top w:val="single" w:color="999999" w:sz="4"/>
              <w:left w:val="single" w:color="999999" w:sz="4"/>
              <w:bottom w:val="single" w:color="999999" w:sz="4"/>
              <w:right w:val="single" w:color="999999" w:sz="4"/>
            </w:tcBorders>
            <w:tcMar>
              <w:top w:type="dxa" w:w="80"/>
              <w:left w:type="dxa" w:w="120"/>
              <w:bottom w:type="dxa" w:w="80"/>
              <w:right w:type="dxa" w:w="120"/>
            </w:tcMar>
          </w:tcPr>
          <w:p>
            <w:pPr>
              <w:spacing w:after="60" w:before="0"/>
              <w:jc w:val="left"/>
            </w:pPr>
            <w:r>
              <w:rPr>
                <w:b/>
                <w:bCs/>
                <w:i w:val="false"/>
                <w:iCs w:val="false"/>
                <w:color w:val="000000"/>
                <w:sz w:val="18"/>
                <w:szCs w:val="18"/>
              </w:rPr>
              <w:t xml:space="preserve">Proposal to restructure invoicing to reduce the Company’s profit to approximately nil</w:t>
            </w:r>
          </w:p>
        </w:tc>
        <w:tc>
          <w:tcPr>
            <w:tcW w:type="dxa" w:w="2800"/>
            <w:tcBorders>
              <w:top w:val="single" w:color="999999" w:sz="4"/>
              <w:left w:val="single" w:color="999999" w:sz="4"/>
              <w:bottom w:val="single" w:color="999999" w:sz="4"/>
              <w:right w:val="single" w:color="999999" w:sz="4"/>
            </w:tcBorders>
            <w:tcMar>
              <w:top w:type="dxa" w:w="80"/>
              <w:left w:type="dxa" w:w="120"/>
              <w:bottom w:type="dxa" w:w="80"/>
              <w:right w:type="dxa" w:w="120"/>
            </w:tcMar>
          </w:tcPr>
          <w:p>
            <w:pPr>
              <w:spacing w:after="60" w:before="0"/>
              <w:jc w:val="left"/>
            </w:pPr>
            <w:r>
              <w:rPr>
                <w:b w:val="false"/>
                <w:bCs w:val="false"/>
                <w:i w:val="false"/>
                <w:iCs w:val="false"/>
                <w:color w:val="000000"/>
                <w:sz w:val="18"/>
                <w:szCs w:val="18"/>
              </w:rPr>
              <w:t xml:space="preserve">Proposed act by or on behalf of the company (s 232(b))</w:t>
            </w:r>
          </w:p>
          <w:p>
            <w:pPr>
              <w:spacing w:after="60" w:before="0"/>
              <w:jc w:val="left"/>
            </w:pPr>
            <w:r>
              <w:rPr>
                <w:b w:val="false"/>
                <w:bCs w:val="false"/>
                <w:i w:val="false"/>
                <w:iCs w:val="false"/>
                <w:color w:val="000000"/>
                <w:sz w:val="18"/>
                <w:szCs w:val="18"/>
              </w:rPr>
              <w:t xml:space="preserve">Oppressive/unfairly prejudicial to minority (s 232(e))</w:t>
            </w:r>
          </w:p>
        </w:tc>
        <w:tc>
          <w:tcPr>
            <w:tcW w:type="dxa" w:w="4600"/>
            <w:tcBorders>
              <w:top w:val="single" w:color="999999" w:sz="4"/>
              <w:left w:val="single" w:color="999999" w:sz="4"/>
              <w:bottom w:val="single" w:color="999999" w:sz="4"/>
              <w:right w:val="single" w:color="999999" w:sz="4"/>
            </w:tcBorders>
            <w:tcMar>
              <w:top w:type="dxa" w:w="80"/>
              <w:left w:type="dxa" w:w="120"/>
              <w:bottom w:type="dxa" w:w="80"/>
              <w:right w:type="dxa" w:w="120"/>
            </w:tcMar>
          </w:tcPr>
          <w:p>
            <w:pPr>
              <w:spacing w:after="60" w:before="0"/>
              <w:jc w:val="left"/>
            </w:pPr>
            <w:r>
              <w:rPr>
                <w:b w:val="false"/>
                <w:bCs w:val="false"/>
                <w:i w:val="false"/>
                <w:iCs w:val="false"/>
                <w:color w:val="000000"/>
                <w:sz w:val="18"/>
                <w:szCs w:val="18"/>
              </w:rPr>
              <w:t xml:space="preserve">Brad proposed restructuring the Company’s invoicing with Mobivate so as to reduce monthly revenue from ~AU$500,000 to ~AU$122,000 — routing the balance (and with it, the Company’s net profit) around the Company and into Mobivate, which Brad controls. The effect would have been to reduce the Company’s corporate tax liability to approximately nil and eliminate dividend capacity.</w:t>
            </w:r>
          </w:p>
          <w:p>
            <w:pPr>
              <w:spacing w:after="60" w:before="0"/>
              <w:jc w:val="left"/>
            </w:pPr>
            <w:r>
              <w:rPr>
                <w:b w:val="false"/>
                <w:bCs w:val="false"/>
                <w:i w:val="false"/>
                <w:iCs w:val="false"/>
                <w:color w:val="000000"/>
                <w:sz w:val="18"/>
                <w:szCs w:val="18"/>
              </w:rPr>
              <w:t xml:space="preserve">A director’s proposal to restructure a company’s revenue base in a way that benefits the director’s own related entity at the direct expense of the minority’s dividend entitlement is classic commercial unfairness.</w:t>
            </w:r>
          </w:p>
        </w:tc>
        <w:tc>
          <w:tcPr>
            <w:tcW w:type="dxa" w:w="2800"/>
            <w:tcBorders>
              <w:top w:val="single" w:color="999999" w:sz="4"/>
              <w:left w:val="single" w:color="999999" w:sz="4"/>
              <w:bottom w:val="single" w:color="999999" w:sz="4"/>
              <w:right w:val="single" w:color="999999" w:sz="4"/>
            </w:tcBorders>
            <w:tcMar>
              <w:top w:type="dxa" w:w="80"/>
              <w:left w:type="dxa" w:w="120"/>
              <w:bottom w:type="dxa" w:w="80"/>
              <w:right w:type="dxa" w:w="120"/>
            </w:tcMar>
          </w:tcPr>
          <w:p>
            <w:pPr>
              <w:spacing w:after="60" w:before="0"/>
              <w:jc w:val="left"/>
            </w:pPr>
            <w:r>
              <w:rPr>
                <w:i/>
                <w:iCs/>
                <w:sz w:val="18"/>
                <w:szCs w:val="18"/>
              </w:rPr>
              <w:t xml:space="preserve">Scottish Co-operative Wholesale Society Ltd v Meyer [1959] AC 324</w:t>
            </w:r>
            <w:r>
              <w:rPr>
                <w:sz w:val="18"/>
                <w:szCs w:val="18"/>
              </w:rPr>
              <w:t xml:space="preserve"> — burdensome, harsh and wrongful; parent diverting business from subsidiary</w:t>
            </w:r>
          </w:p>
          <w:p>
            <w:pPr>
              <w:spacing w:after="60" w:before="0"/>
              <w:jc w:val="left"/>
            </w:pPr>
            <w:r>
              <w:rPr>
                <w:i/>
                <w:iCs/>
                <w:sz w:val="18"/>
                <w:szCs w:val="18"/>
              </w:rPr>
              <w:t xml:space="preserve">Fexuto P/L v Bosnjak Holdings P/L [2001] NSWCA 97</w:t>
            </w:r>
            <w:r>
              <w:rPr>
                <w:sz w:val="18"/>
                <w:szCs w:val="18"/>
              </w:rPr>
              <w:t xml:space="preserve"> — diversion of corporate opportunity by director to competing entity</w:t>
            </w:r>
          </w:p>
          <w:p>
            <w:pPr>
              <w:spacing w:after="60" w:before="0"/>
              <w:jc w:val="left"/>
            </w:pPr>
            <w:r>
              <w:rPr>
                <w:i/>
                <w:iCs/>
                <w:sz w:val="18"/>
                <w:szCs w:val="18"/>
              </w:rPr>
              <w:t xml:space="preserve">Ubertini v Saeco International Group SpA (No 4) [2014] VSC 47</w:t>
            </w:r>
            <w:r>
              <w:rPr>
                <w:sz w:val="18"/>
                <w:szCs w:val="18"/>
              </w:rPr>
              <w:t xml:space="preserve"> — commercial unfairness; departure from standards of fair dealing</w:t>
            </w:r>
          </w:p>
        </w:tc>
      </w:tr>
      <w:tr>
        <w:trPr>
          <w:cantSplit/>
        </w:trPr>
        <w:tc>
          <w:tcPr>
            <w:tcW w:type="dxa" w:w="1600"/>
            <w:tcBorders>
              <w:top w:val="single" w:color="999999" w:sz="4"/>
              <w:left w:val="single" w:color="999999" w:sz="4"/>
              <w:bottom w:val="single" w:color="999999" w:sz="4"/>
              <w:right w:val="single" w:color="999999" w:sz="4"/>
            </w:tcBorders>
            <w:shd w:fill="F2F2F2" w:color="auto" w:val="clear"/>
            <w:tcMar>
              <w:top w:type="dxa" w:w="80"/>
              <w:left w:type="dxa" w:w="120"/>
              <w:bottom w:type="dxa" w:w="80"/>
              <w:right w:type="dxa" w:w="120"/>
            </w:tcMar>
          </w:tcPr>
          <w:p>
            <w:pPr>
              <w:spacing w:after="60" w:before="0"/>
              <w:jc w:val="left"/>
            </w:pPr>
            <w:r>
              <w:rPr>
                <w:b w:val="false"/>
                <w:bCs w:val="false"/>
                <w:i w:val="false"/>
                <w:iCs w:val="false"/>
                <w:color w:val="000000"/>
                <w:sz w:val="18"/>
                <w:szCs w:val="18"/>
              </w:rPr>
              <w:t xml:space="preserve">13 May 2025</w:t>
            </w:r>
          </w:p>
        </w:tc>
        <w:tc>
          <w:tcPr>
            <w:tcW w:type="dxa" w:w="2600"/>
            <w:tcBorders>
              <w:top w:val="single" w:color="999999" w:sz="4"/>
              <w:left w:val="single" w:color="999999" w:sz="4"/>
              <w:bottom w:val="single" w:color="999999" w:sz="4"/>
              <w:right w:val="single" w:color="999999" w:sz="4"/>
            </w:tcBorders>
            <w:shd w:fill="F2F2F2" w:color="auto" w:val="clear"/>
            <w:tcMar>
              <w:top w:type="dxa" w:w="80"/>
              <w:left w:type="dxa" w:w="120"/>
              <w:bottom w:type="dxa" w:w="80"/>
              <w:right w:type="dxa" w:w="120"/>
            </w:tcMar>
          </w:tcPr>
          <w:p>
            <w:pPr>
              <w:spacing w:after="60" w:before="0"/>
              <w:jc w:val="left"/>
            </w:pPr>
            <w:r>
              <w:rPr>
                <w:b/>
                <w:bCs/>
                <w:i w:val="false"/>
                <w:iCs w:val="false"/>
                <w:color w:val="000000"/>
                <w:sz w:val="18"/>
                <w:szCs w:val="18"/>
              </w:rPr>
              <w:t xml:space="preserve">Escalated restructuring with written admission — “100% of the sales function”</w:t>
            </w:r>
          </w:p>
        </w:tc>
        <w:tc>
          <w:tcPr>
            <w:tcW w:type="dxa" w:w="2800"/>
            <w:tcBorders>
              <w:top w:val="single" w:color="999999" w:sz="4"/>
              <w:left w:val="single" w:color="999999" w:sz="4"/>
              <w:bottom w:val="single" w:color="999999" w:sz="4"/>
              <w:right w:val="single" w:color="999999" w:sz="4"/>
            </w:tcBorders>
            <w:shd w:fill="F2F2F2" w:color="auto" w:val="clear"/>
            <w:tcMar>
              <w:top w:type="dxa" w:w="80"/>
              <w:left w:type="dxa" w:w="120"/>
              <w:bottom w:type="dxa" w:w="80"/>
              <w:right w:type="dxa" w:w="120"/>
            </w:tcMar>
          </w:tcPr>
          <w:p>
            <w:pPr>
              <w:spacing w:after="60" w:before="0"/>
              <w:jc w:val="left"/>
            </w:pPr>
            <w:r>
              <w:rPr>
                <w:b w:val="false"/>
                <w:bCs w:val="false"/>
                <w:i w:val="false"/>
                <w:iCs w:val="false"/>
                <w:color w:val="000000"/>
                <w:sz w:val="18"/>
                <w:szCs w:val="18"/>
              </w:rPr>
              <w:t xml:space="preserve">Proposed act by or on behalf of the company (s 232(b))</w:t>
            </w:r>
          </w:p>
          <w:p>
            <w:pPr>
              <w:spacing w:after="60" w:before="0"/>
              <w:jc w:val="left"/>
            </w:pPr>
            <w:r>
              <w:rPr>
                <w:b w:val="false"/>
                <w:bCs w:val="false"/>
                <w:i w:val="false"/>
                <w:iCs w:val="false"/>
                <w:color w:val="000000"/>
                <w:sz w:val="18"/>
                <w:szCs w:val="18"/>
              </w:rPr>
              <w:t xml:space="preserve">Confirmation of diversion of corporate opportunity</w:t>
            </w:r>
          </w:p>
        </w:tc>
        <w:tc>
          <w:tcPr>
            <w:tcW w:type="dxa" w:w="4600"/>
            <w:tcBorders>
              <w:top w:val="single" w:color="999999" w:sz="4"/>
              <w:left w:val="single" w:color="999999" w:sz="4"/>
              <w:bottom w:val="single" w:color="999999" w:sz="4"/>
              <w:right w:val="single" w:color="999999" w:sz="4"/>
            </w:tcBorders>
            <w:shd w:fill="F2F2F2" w:color="auto" w:val="clear"/>
            <w:tcMar>
              <w:top w:type="dxa" w:w="80"/>
              <w:left w:type="dxa" w:w="120"/>
              <w:bottom w:type="dxa" w:w="80"/>
              <w:right w:type="dxa" w:w="120"/>
            </w:tcMar>
          </w:tcPr>
          <w:p>
            <w:pPr>
              <w:spacing w:after="60" w:before="0"/>
              <w:jc w:val="left"/>
            </w:pPr>
            <w:r>
              <w:rPr>
                <w:b w:val="false"/>
                <w:bCs w:val="false"/>
                <w:i w:val="false"/>
                <w:iCs w:val="false"/>
                <w:color w:val="000000"/>
                <w:sz w:val="18"/>
                <w:szCs w:val="18"/>
              </w:rPr>
              <w:t xml:space="preserve">Brad attached a spreadsheet (MBVT to RWM.xlsx) modelling the restructuring and wrote that he performs “100% of the sales function of Raw Mobility (albeit via Mobivate).” That is a direct admission that the customers served through Mobivate were, in economic substance, the Company’s customers — and accordingly that the revenue stream Brad proposed to divert was the Company’s corporate opportunity.</w:t>
            </w:r>
          </w:p>
        </w:tc>
        <w:tc>
          <w:tcPr>
            <w:tcW w:type="dxa" w:w="2800"/>
            <w:tcBorders>
              <w:top w:val="single" w:color="999999" w:sz="4"/>
              <w:left w:val="single" w:color="999999" w:sz="4"/>
              <w:bottom w:val="single" w:color="999999" w:sz="4"/>
              <w:right w:val="single" w:color="999999" w:sz="4"/>
            </w:tcBorders>
            <w:shd w:fill="F2F2F2" w:color="auto" w:val="clear"/>
            <w:tcMar>
              <w:top w:type="dxa" w:w="80"/>
              <w:left w:type="dxa" w:w="120"/>
              <w:bottom w:type="dxa" w:w="80"/>
              <w:right w:type="dxa" w:w="120"/>
            </w:tcMar>
          </w:tcPr>
          <w:p>
            <w:pPr>
              <w:spacing w:after="60" w:before="0"/>
              <w:jc w:val="left"/>
            </w:pPr>
            <w:r>
              <w:rPr>
                <w:i/>
                <w:iCs/>
                <w:sz w:val="18"/>
                <w:szCs w:val="18"/>
              </w:rPr>
              <w:t xml:space="preserve">Fexuto P/L v Bosnjak Holdings P/L [2001] NSWCA 97</w:t>
            </w:r>
            <w:r>
              <w:rPr>
                <w:sz w:val="18"/>
                <w:szCs w:val="18"/>
              </w:rPr>
              <w:t xml:space="preserve"> — diversion of corporate opportunity by director to competing entity</w:t>
            </w:r>
          </w:p>
          <w:p>
            <w:pPr>
              <w:spacing w:after="60" w:before="0"/>
              <w:jc w:val="left"/>
            </w:pPr>
            <w:r>
              <w:rPr>
                <w:i/>
                <w:iCs/>
                <w:sz w:val="18"/>
                <w:szCs w:val="18"/>
              </w:rPr>
              <w:t xml:space="preserve">Scottish Co-operative Wholesale Society Ltd v Meyer [1959] AC 324</w:t>
            </w:r>
            <w:r>
              <w:rPr>
                <w:sz w:val="18"/>
                <w:szCs w:val="18"/>
              </w:rPr>
              <w:t xml:space="preserve"> — burdensome, harsh and wrongful; parent diverting business from subsidiary</w:t>
            </w:r>
          </w:p>
        </w:tc>
      </w:tr>
      <w:tr>
        <w:trPr>
          <w:cantSplit/>
        </w:trPr>
        <w:tc>
          <w:tcPr>
            <w:tcW w:type="dxa" w:w="1600"/>
            <w:tcBorders>
              <w:top w:val="single" w:color="999999" w:sz="4"/>
              <w:left w:val="single" w:color="999999" w:sz="4"/>
              <w:bottom w:val="single" w:color="999999" w:sz="4"/>
              <w:right w:val="single" w:color="999999" w:sz="4"/>
            </w:tcBorders>
            <w:tcMar>
              <w:top w:type="dxa" w:w="80"/>
              <w:left w:type="dxa" w:w="120"/>
              <w:bottom w:type="dxa" w:w="80"/>
              <w:right w:type="dxa" w:w="120"/>
            </w:tcMar>
          </w:tcPr>
          <w:p>
            <w:pPr>
              <w:spacing w:after="60" w:before="0"/>
              <w:jc w:val="left"/>
            </w:pPr>
            <w:r>
              <w:rPr>
                <w:b w:val="false"/>
                <w:bCs w:val="false"/>
                <w:i w:val="false"/>
                <w:iCs w:val="false"/>
                <w:color w:val="000000"/>
                <w:sz w:val="18"/>
                <w:szCs w:val="18"/>
              </w:rPr>
              <w:t xml:space="preserve">Mid-2025 onwards</w:t>
            </w:r>
          </w:p>
        </w:tc>
        <w:tc>
          <w:tcPr>
            <w:tcW w:type="dxa" w:w="2600"/>
            <w:tcBorders>
              <w:top w:val="single" w:color="999999" w:sz="4"/>
              <w:left w:val="single" w:color="999999" w:sz="4"/>
              <w:bottom w:val="single" w:color="999999" w:sz="4"/>
              <w:right w:val="single" w:color="999999" w:sz="4"/>
            </w:tcBorders>
            <w:tcMar>
              <w:top w:type="dxa" w:w="80"/>
              <w:left w:type="dxa" w:w="120"/>
              <w:bottom w:type="dxa" w:w="80"/>
              <w:right w:type="dxa" w:w="120"/>
            </w:tcMar>
          </w:tcPr>
          <w:p>
            <w:pPr>
              <w:spacing w:after="60" w:before="0"/>
              <w:jc w:val="left"/>
            </w:pPr>
            <w:r>
              <w:rPr>
                <w:b/>
                <w:bCs/>
                <w:i w:val="false"/>
                <w:iCs w:val="false"/>
                <w:color w:val="000000"/>
                <w:sz w:val="18"/>
                <w:szCs w:val="18"/>
              </w:rPr>
              <w:t xml:space="preserve">Construction of competing product (Vortex) and mass migration of customers away from the Company</w:t>
            </w:r>
          </w:p>
        </w:tc>
        <w:tc>
          <w:tcPr>
            <w:tcW w:type="dxa" w:w="2800"/>
            <w:tcBorders>
              <w:top w:val="single" w:color="999999" w:sz="4"/>
              <w:left w:val="single" w:color="999999" w:sz="4"/>
              <w:bottom w:val="single" w:color="999999" w:sz="4"/>
              <w:right w:val="single" w:color="999999" w:sz="4"/>
            </w:tcBorders>
            <w:tcMar>
              <w:top w:type="dxa" w:w="80"/>
              <w:left w:type="dxa" w:w="120"/>
              <w:bottom w:type="dxa" w:w="80"/>
              <w:right w:type="dxa" w:w="120"/>
            </w:tcMar>
          </w:tcPr>
          <w:p>
            <w:pPr>
              <w:spacing w:after="60" w:before="0"/>
              <w:jc w:val="left"/>
            </w:pPr>
            <w:r>
              <w:rPr>
                <w:b w:val="false"/>
                <w:bCs w:val="false"/>
                <w:i w:val="false"/>
                <w:iCs w:val="false"/>
                <w:color w:val="000000"/>
                <w:sz w:val="18"/>
                <w:szCs w:val="18"/>
              </w:rPr>
              <w:t xml:space="preserve">Conduct of the company’s affairs by director (s 232(a))</w:t>
            </w:r>
          </w:p>
          <w:p>
            <w:pPr>
              <w:spacing w:after="60" w:before="0"/>
              <w:jc w:val="left"/>
            </w:pPr>
            <w:r>
              <w:rPr>
                <w:b w:val="false"/>
                <w:bCs w:val="false"/>
                <w:i w:val="false"/>
                <w:iCs w:val="false"/>
                <w:color w:val="000000"/>
                <w:sz w:val="18"/>
                <w:szCs w:val="18"/>
              </w:rPr>
              <w:t xml:space="preserve">Diversion of corporate opportunity — paradigm oppression</w:t>
            </w:r>
          </w:p>
        </w:tc>
        <w:tc>
          <w:tcPr>
            <w:tcW w:type="dxa" w:w="4600"/>
            <w:tcBorders>
              <w:top w:val="single" w:color="999999" w:sz="4"/>
              <w:left w:val="single" w:color="999999" w:sz="4"/>
              <w:bottom w:val="single" w:color="999999" w:sz="4"/>
              <w:right w:val="single" w:color="999999" w:sz="4"/>
            </w:tcBorders>
            <w:tcMar>
              <w:top w:type="dxa" w:w="80"/>
              <w:left w:type="dxa" w:w="120"/>
              <w:bottom w:type="dxa" w:w="80"/>
              <w:right w:type="dxa" w:w="120"/>
            </w:tcMar>
          </w:tcPr>
          <w:p>
            <w:pPr>
              <w:spacing w:after="60" w:before="0"/>
              <w:jc w:val="left"/>
            </w:pPr>
            <w:r>
              <w:rPr>
                <w:b w:val="false"/>
                <w:bCs w:val="false"/>
                <w:i w:val="false"/>
                <w:iCs w:val="false"/>
                <w:color w:val="000000"/>
                <w:sz w:val="18"/>
                <w:szCs w:val="18"/>
              </w:rPr>
              <w:t xml:space="preserve">After Asaf refused the May 2025 restructuring, Brad (while remaining a director of the Company) caused Mobivate to build a competing bulk-SMS product (“Vortex”) and transferred the Company’s revenue stream away from the Company.</w:t>
            </w:r>
          </w:p>
          <w:p>
            <w:pPr>
              <w:spacing w:after="60" w:before="0"/>
              <w:jc w:val="left"/>
            </w:pPr>
            <w:r>
              <w:rPr>
                <w:b w:val="false"/>
                <w:bCs w:val="false"/>
                <w:i w:val="false"/>
                <w:iCs w:val="false"/>
                <w:color w:val="000000"/>
                <w:sz w:val="18"/>
                <w:szCs w:val="18"/>
              </w:rPr>
              <w:t xml:space="preserve">Documented by: (a) Mobivate JIRA tickets ISPRINT-207/208/210 (“Get current user balance from Blender and create a user transaction on Vortex”; “Nullify the Blender wallet”; “Copy all Blender invoices into Dynamo DB”); (b) structurally identical API endpoints; (c) automated script on 25 Nov 2025 migrating 16+ named client accounts, each tracked “Confirmed — Moved to Mobivate”; (d) direct customer solicitation by Mobivate staff (Sybille Duvel, Oct 2025, offering AU$100 credit to migrate).</w:t>
            </w:r>
          </w:p>
          <w:p>
            <w:pPr>
              <w:spacing w:after="60" w:before="0"/>
              <w:jc w:val="left"/>
            </w:pPr>
            <w:r>
              <w:rPr>
                <w:b w:val="false"/>
                <w:bCs w:val="false"/>
                <w:i w:val="false"/>
                <w:iCs w:val="false"/>
                <w:color w:val="000000"/>
                <w:sz w:val="18"/>
                <w:szCs w:val="18"/>
              </w:rPr>
              <w:t xml:space="preserve">Monthly revenue collapsed from AU$576,319 (Jun 2025) to AU$106,313 (Dec 2025) — an 82% decline — and to ~AU$5,000 by Apr 2026 (&gt;99% decline).</w:t>
            </w:r>
          </w:p>
        </w:tc>
        <w:tc>
          <w:tcPr>
            <w:tcW w:type="dxa" w:w="2800"/>
            <w:tcBorders>
              <w:top w:val="single" w:color="999999" w:sz="4"/>
              <w:left w:val="single" w:color="999999" w:sz="4"/>
              <w:bottom w:val="single" w:color="999999" w:sz="4"/>
              <w:right w:val="single" w:color="999999" w:sz="4"/>
            </w:tcBorders>
            <w:tcMar>
              <w:top w:type="dxa" w:w="80"/>
              <w:left w:type="dxa" w:w="120"/>
              <w:bottom w:type="dxa" w:w="80"/>
              <w:right w:type="dxa" w:w="120"/>
            </w:tcMar>
          </w:tcPr>
          <w:p>
            <w:pPr>
              <w:spacing w:after="60" w:before="0"/>
              <w:jc w:val="left"/>
            </w:pPr>
            <w:r>
              <w:rPr>
                <w:i/>
                <w:iCs/>
                <w:sz w:val="18"/>
                <w:szCs w:val="18"/>
              </w:rPr>
              <w:t xml:space="preserve">Scottish Co-operative Wholesale Society Ltd v Meyer [1959] AC 324</w:t>
            </w:r>
            <w:r>
              <w:rPr>
                <w:sz w:val="18"/>
                <w:szCs w:val="18"/>
              </w:rPr>
              <w:t xml:space="preserve"> — burdensome, harsh and wrongful; parent diverting business from subsidiary</w:t>
            </w:r>
          </w:p>
          <w:p>
            <w:pPr>
              <w:spacing w:after="60" w:before="0"/>
              <w:jc w:val="left"/>
            </w:pPr>
            <w:r>
              <w:rPr>
                <w:i/>
                <w:iCs/>
                <w:sz w:val="18"/>
                <w:szCs w:val="18"/>
              </w:rPr>
              <w:t xml:space="preserve">Fexuto P/L v Bosnjak Holdings P/L [2001] NSWCA 97</w:t>
            </w:r>
            <w:r>
              <w:rPr>
                <w:sz w:val="18"/>
                <w:szCs w:val="18"/>
              </w:rPr>
              <w:t xml:space="preserve"> — diversion of corporate opportunity by director to competing entity</w:t>
            </w:r>
          </w:p>
          <w:p>
            <w:pPr>
              <w:spacing w:after="60" w:before="0"/>
              <w:jc w:val="left"/>
            </w:pPr>
            <w:r>
              <w:rPr>
                <w:i/>
                <w:iCs/>
                <w:sz w:val="18"/>
                <w:szCs w:val="18"/>
              </w:rPr>
              <w:t xml:space="preserve">Jolan P/L v Essential Investments P/L (No 2) [2021] FCA 1533</w:t>
            </w:r>
            <w:r>
              <w:rPr>
                <w:sz w:val="18"/>
                <w:szCs w:val="18"/>
              </w:rPr>
              <w:t xml:space="preserve"> — cumulative pattern of conduct; 'unfairness adds up' (Downes J)</w:t>
            </w:r>
          </w:p>
        </w:tc>
      </w:tr>
      <w:tr>
        <w:trPr>
          <w:cantSplit/>
        </w:trPr>
        <w:tc>
          <w:tcPr>
            <w:tcW w:type="dxa" w:w="1600"/>
            <w:tcBorders>
              <w:top w:val="single" w:color="999999" w:sz="4"/>
              <w:left w:val="single" w:color="999999" w:sz="4"/>
              <w:bottom w:val="single" w:color="999999" w:sz="4"/>
              <w:right w:val="single" w:color="999999" w:sz="4"/>
            </w:tcBorders>
            <w:shd w:fill="F2F2F2" w:color="auto" w:val="clear"/>
            <w:tcMar>
              <w:top w:type="dxa" w:w="80"/>
              <w:left w:type="dxa" w:w="120"/>
              <w:bottom w:type="dxa" w:w="80"/>
              <w:right w:type="dxa" w:w="120"/>
            </w:tcMar>
          </w:tcPr>
          <w:p>
            <w:pPr>
              <w:spacing w:after="60" w:before="0"/>
              <w:jc w:val="left"/>
            </w:pPr>
            <w:r>
              <w:rPr>
                <w:b w:val="false"/>
                <w:bCs w:val="false"/>
                <w:i w:val="false"/>
                <w:iCs w:val="false"/>
                <w:color w:val="000000"/>
                <w:sz w:val="18"/>
                <w:szCs w:val="18"/>
              </w:rPr>
              <w:t xml:space="preserve">Early Jun 2025</w:t>
            </w:r>
          </w:p>
        </w:tc>
        <w:tc>
          <w:tcPr>
            <w:tcW w:type="dxa" w:w="2600"/>
            <w:tcBorders>
              <w:top w:val="single" w:color="999999" w:sz="4"/>
              <w:left w:val="single" w:color="999999" w:sz="4"/>
              <w:bottom w:val="single" w:color="999999" w:sz="4"/>
              <w:right w:val="single" w:color="999999" w:sz="4"/>
            </w:tcBorders>
            <w:shd w:fill="F2F2F2" w:color="auto" w:val="clear"/>
            <w:tcMar>
              <w:top w:type="dxa" w:w="80"/>
              <w:left w:type="dxa" w:w="120"/>
              <w:bottom w:type="dxa" w:w="80"/>
              <w:right w:type="dxa" w:w="120"/>
            </w:tcMar>
          </w:tcPr>
          <w:p>
            <w:pPr>
              <w:spacing w:after="60" w:before="0"/>
              <w:jc w:val="left"/>
            </w:pPr>
            <w:r>
              <w:rPr>
                <w:b/>
                <w:bCs/>
                <w:i w:val="false"/>
                <w:iCs w:val="false"/>
                <w:color w:val="000000"/>
                <w:sz w:val="18"/>
                <w:szCs w:val="18"/>
              </w:rPr>
              <w:t xml:space="preserve">Dividend approval followed by refusal to sign the financial statements that supported it</w:t>
            </w:r>
          </w:p>
        </w:tc>
        <w:tc>
          <w:tcPr>
            <w:tcW w:type="dxa" w:w="2800"/>
            <w:tcBorders>
              <w:top w:val="single" w:color="999999" w:sz="4"/>
              <w:left w:val="single" w:color="999999" w:sz="4"/>
              <w:bottom w:val="single" w:color="999999" w:sz="4"/>
              <w:right w:val="single" w:color="999999" w:sz="4"/>
            </w:tcBorders>
            <w:shd w:fill="F2F2F2" w:color="auto" w:val="clear"/>
            <w:tcMar>
              <w:top w:type="dxa" w:w="80"/>
              <w:left w:type="dxa" w:w="120"/>
              <w:bottom w:type="dxa" w:w="80"/>
              <w:right w:type="dxa" w:w="120"/>
            </w:tcMar>
          </w:tcPr>
          <w:p>
            <w:pPr>
              <w:spacing w:after="60" w:before="0"/>
              <w:jc w:val="left"/>
            </w:pPr>
            <w:r>
              <w:rPr>
                <w:b w:val="false"/>
                <w:bCs w:val="false"/>
                <w:i w:val="false"/>
                <w:iCs w:val="false"/>
                <w:color w:val="000000"/>
                <w:sz w:val="18"/>
                <w:szCs w:val="18"/>
              </w:rPr>
              <w:t xml:space="preserve">Oppressive / unfairly prejudicial (s 232(e))</w:t>
            </w:r>
          </w:p>
          <w:p>
            <w:pPr>
              <w:spacing w:after="60" w:before="0"/>
              <w:jc w:val="left"/>
            </w:pPr>
            <w:r>
              <w:rPr>
                <w:b w:val="false"/>
                <w:bCs w:val="false"/>
                <w:i w:val="false"/>
                <w:iCs w:val="false"/>
                <w:color w:val="000000"/>
                <w:sz w:val="18"/>
                <w:szCs w:val="18"/>
              </w:rPr>
              <w:t xml:space="preserve">Contrary to interests of members as a whole (s 232(d))</w:t>
            </w:r>
          </w:p>
        </w:tc>
        <w:tc>
          <w:tcPr>
            <w:tcW w:type="dxa" w:w="4600"/>
            <w:tcBorders>
              <w:top w:val="single" w:color="999999" w:sz="4"/>
              <w:left w:val="single" w:color="999999" w:sz="4"/>
              <w:bottom w:val="single" w:color="999999" w:sz="4"/>
              <w:right w:val="single" w:color="999999" w:sz="4"/>
            </w:tcBorders>
            <w:shd w:fill="F2F2F2" w:color="auto" w:val="clear"/>
            <w:tcMar>
              <w:top w:type="dxa" w:w="80"/>
              <w:left w:type="dxa" w:w="120"/>
              <w:bottom w:type="dxa" w:w="80"/>
              <w:right w:type="dxa" w:w="120"/>
            </w:tcMar>
          </w:tcPr>
          <w:p>
            <w:pPr>
              <w:spacing w:after="60" w:before="0"/>
              <w:jc w:val="left"/>
            </w:pPr>
            <w:r>
              <w:rPr>
                <w:b w:val="false"/>
                <w:bCs w:val="false"/>
                <w:i w:val="false"/>
                <w:iCs w:val="false"/>
                <w:color w:val="000000"/>
                <w:sz w:val="18"/>
                <w:szCs w:val="18"/>
              </w:rPr>
              <w:t xml:space="preserve">Brad insisted on increasing the FY2024 dividend from the accountants’ recommended ~AU$800,000 to ~AU$1.9m (of which the Trust took ~AU$1,558,000), then refused to sign the FY2024 financial statements that supported that dividend, alleging they “lack integrity.”</w:t>
            </w:r>
          </w:p>
          <w:p>
            <w:pPr>
              <w:spacing w:after="60" w:before="0"/>
              <w:jc w:val="left"/>
            </w:pPr>
            <w:r>
              <w:rPr>
                <w:b w:val="false"/>
                <w:bCs w:val="false"/>
                <w:i w:val="false"/>
                <w:iCs w:val="false"/>
                <w:color w:val="000000"/>
                <w:sz w:val="18"/>
                <w:szCs w:val="18"/>
              </w:rPr>
              <w:t xml:space="preserve">Approbating the dividend while reprobating the accounts that founded it, and allowing ongoing late-lodgement exposure with ATO and ASIC, is conduct no reasonable director would engage in and is squarely within the Munstermann category.</w:t>
            </w:r>
          </w:p>
        </w:tc>
        <w:tc>
          <w:tcPr>
            <w:tcW w:type="dxa" w:w="2800"/>
            <w:tcBorders>
              <w:top w:val="single" w:color="999999" w:sz="4"/>
              <w:left w:val="single" w:color="999999" w:sz="4"/>
              <w:bottom w:val="single" w:color="999999" w:sz="4"/>
              <w:right w:val="single" w:color="999999" w:sz="4"/>
            </w:tcBorders>
            <w:shd w:fill="F2F2F2" w:color="auto" w:val="clear"/>
            <w:tcMar>
              <w:top w:type="dxa" w:w="80"/>
              <w:left w:type="dxa" w:w="120"/>
              <w:bottom w:type="dxa" w:w="80"/>
              <w:right w:type="dxa" w:w="120"/>
            </w:tcMar>
          </w:tcPr>
          <w:p>
            <w:pPr>
              <w:spacing w:after="60" w:before="0"/>
              <w:jc w:val="left"/>
            </w:pPr>
            <w:r>
              <w:rPr>
                <w:i/>
                <w:iCs/>
                <w:sz w:val="18"/>
                <w:szCs w:val="18"/>
              </w:rPr>
              <w:t xml:space="preserve">Munstermann v Rayward [2017] NSWSC 133</w:t>
            </w:r>
            <w:r>
              <w:rPr>
                <w:sz w:val="18"/>
                <w:szCs w:val="18"/>
              </w:rPr>
              <w:t xml:space="preserve"> — refusing to authorise financial statements; salary manipulation; bullying = oppression</w:t>
            </w:r>
          </w:p>
          <w:p>
            <w:pPr>
              <w:spacing w:after="60" w:before="0"/>
              <w:jc w:val="left"/>
            </w:pPr>
            <w:r>
              <w:rPr>
                <w:i/>
                <w:iCs/>
                <w:sz w:val="18"/>
                <w:szCs w:val="18"/>
              </w:rPr>
              <w:t xml:space="preserve">Ubertini v Saeco International Group SpA (No 4) [2014] VSC 47</w:t>
            </w:r>
            <w:r>
              <w:rPr>
                <w:sz w:val="18"/>
                <w:szCs w:val="18"/>
              </w:rPr>
              <w:t xml:space="preserve"> — commercial unfairness; departure from standards of fair dealing</w:t>
            </w:r>
          </w:p>
        </w:tc>
      </w:tr>
      <w:tr>
        <w:trPr>
          <w:cantSplit/>
        </w:trPr>
        <w:tc>
          <w:tcPr>
            <w:tcW w:type="dxa" w:w="1600"/>
            <w:tcBorders>
              <w:top w:val="single" w:color="999999" w:sz="4"/>
              <w:left w:val="single" w:color="999999" w:sz="4"/>
              <w:bottom w:val="single" w:color="999999" w:sz="4"/>
              <w:right w:val="single" w:color="999999" w:sz="4"/>
            </w:tcBorders>
            <w:tcMar>
              <w:top w:type="dxa" w:w="80"/>
              <w:left w:type="dxa" w:w="120"/>
              <w:bottom w:type="dxa" w:w="80"/>
              <w:right w:type="dxa" w:w="120"/>
            </w:tcMar>
          </w:tcPr>
          <w:p>
            <w:pPr>
              <w:spacing w:after="60" w:before="0"/>
              <w:jc w:val="left"/>
            </w:pPr>
            <w:r>
              <w:rPr>
                <w:b w:val="false"/>
                <w:bCs w:val="false"/>
                <w:i w:val="false"/>
                <w:iCs w:val="false"/>
                <w:color w:val="000000"/>
                <w:sz w:val="18"/>
                <w:szCs w:val="18"/>
              </w:rPr>
              <w:t xml:space="preserve">29 Dec 2025</w:t>
            </w:r>
          </w:p>
        </w:tc>
        <w:tc>
          <w:tcPr>
            <w:tcW w:type="dxa" w:w="2600"/>
            <w:tcBorders>
              <w:top w:val="single" w:color="999999" w:sz="4"/>
              <w:left w:val="single" w:color="999999" w:sz="4"/>
              <w:bottom w:val="single" w:color="999999" w:sz="4"/>
              <w:right w:val="single" w:color="999999" w:sz="4"/>
            </w:tcBorders>
            <w:tcMar>
              <w:top w:type="dxa" w:w="80"/>
              <w:left w:type="dxa" w:w="120"/>
              <w:bottom w:type="dxa" w:w="80"/>
              <w:right w:type="dxa" w:w="120"/>
            </w:tcMar>
          </w:tcPr>
          <w:p>
            <w:pPr>
              <w:spacing w:after="60" w:before="0"/>
              <w:jc w:val="left"/>
            </w:pPr>
            <w:r>
              <w:rPr>
                <w:b/>
                <w:bCs/>
                <w:i w:val="false"/>
                <w:iCs w:val="false"/>
                <w:color w:val="000000"/>
                <w:sz w:val="18"/>
                <w:szCs w:val="18"/>
              </w:rPr>
              <w:t xml:space="preserve">“Formal Notice”: express written conflict declaration and concurrent coercive acts</w:t>
            </w:r>
          </w:p>
        </w:tc>
        <w:tc>
          <w:tcPr>
            <w:tcW w:type="dxa" w:w="2800"/>
            <w:tcBorders>
              <w:top w:val="single" w:color="999999" w:sz="4"/>
              <w:left w:val="single" w:color="999999" w:sz="4"/>
              <w:bottom w:val="single" w:color="999999" w:sz="4"/>
              <w:right w:val="single" w:color="999999" w:sz="4"/>
            </w:tcBorders>
            <w:tcMar>
              <w:top w:type="dxa" w:w="80"/>
              <w:left w:type="dxa" w:w="120"/>
              <w:bottom w:type="dxa" w:w="80"/>
              <w:right w:type="dxa" w:w="120"/>
            </w:tcMar>
          </w:tcPr>
          <w:p>
            <w:pPr>
              <w:spacing w:after="60" w:before="0"/>
              <w:jc w:val="left"/>
            </w:pPr>
            <w:r>
              <w:rPr>
                <w:b w:val="false"/>
                <w:bCs w:val="false"/>
                <w:i w:val="false"/>
                <w:iCs w:val="false"/>
                <w:color w:val="000000"/>
                <w:sz w:val="18"/>
                <w:szCs w:val="18"/>
              </w:rPr>
              <w:t xml:space="preserve">Conduct of company’s affairs (s 232(a))</w:t>
            </w:r>
          </w:p>
          <w:p>
            <w:pPr>
              <w:spacing w:after="60" w:before="0"/>
              <w:jc w:val="left"/>
            </w:pPr>
            <w:r>
              <w:rPr>
                <w:b w:val="false"/>
                <w:bCs w:val="false"/>
                <w:i w:val="false"/>
                <w:iCs w:val="false"/>
                <w:color w:val="000000"/>
                <w:sz w:val="18"/>
                <w:szCs w:val="18"/>
              </w:rPr>
              <w:t xml:space="preserve">Oppressive / unfairly prejudicial (s 232(e))</w:t>
            </w:r>
          </w:p>
        </w:tc>
        <w:tc>
          <w:tcPr>
            <w:tcW w:type="dxa" w:w="4600"/>
            <w:tcBorders>
              <w:top w:val="single" w:color="999999" w:sz="4"/>
              <w:left w:val="single" w:color="999999" w:sz="4"/>
              <w:bottom w:val="single" w:color="999999" w:sz="4"/>
              <w:right w:val="single" w:color="999999" w:sz="4"/>
            </w:tcBorders>
            <w:tcMar>
              <w:top w:type="dxa" w:w="80"/>
              <w:left w:type="dxa" w:w="120"/>
              <w:bottom w:type="dxa" w:w="80"/>
              <w:right w:type="dxa" w:w="120"/>
            </w:tcMar>
          </w:tcPr>
          <w:p>
            <w:pPr>
              <w:spacing w:after="60" w:before="0"/>
              <w:jc w:val="left"/>
            </w:pPr>
            <w:r>
              <w:rPr>
                <w:b w:val="false"/>
                <w:bCs w:val="false"/>
                <w:i w:val="false"/>
                <w:iCs w:val="false"/>
                <w:color w:val="000000"/>
                <w:sz w:val="18"/>
                <w:szCs w:val="18"/>
              </w:rPr>
              <w:t xml:space="preserve">In a single document, Brad: (a) declared he was acting “in [his] personal capacity, as director of Raw Mobility and on behalf of Marlau Trust and Mobivate Limited” — express written admission of simultaneous representation of competing interests; (b) caused the 82% controlling shareholder to purport to terminate OMLF payments to Shamir Holdings unilaterally (see separate row); (c) conditioned continued payment of Asaf’s salary on “full compliance” (see coercion row); (d) revoked Asaf’s access to company systems (see exclusion row); (e) purported by fiat to cancel the EGM convened under the Shareholders Agreement.</w:t>
            </w:r>
          </w:p>
          <w:p>
            <w:pPr>
              <w:spacing w:after="60" w:before="0"/>
              <w:jc w:val="left"/>
            </w:pPr>
            <w:r>
              <w:rPr>
                <w:b w:val="false"/>
                <w:bCs w:val="false"/>
                <w:i w:val="false"/>
                <w:iCs w:val="false"/>
                <w:color w:val="000000"/>
                <w:sz w:val="18"/>
                <w:szCs w:val="18"/>
              </w:rPr>
              <w:t xml:space="preserve">Considered together, the Formal Notice is the clearest single instance of the pattern.</w:t>
            </w:r>
          </w:p>
        </w:tc>
        <w:tc>
          <w:tcPr>
            <w:tcW w:type="dxa" w:w="2800"/>
            <w:tcBorders>
              <w:top w:val="single" w:color="999999" w:sz="4"/>
              <w:left w:val="single" w:color="999999" w:sz="4"/>
              <w:bottom w:val="single" w:color="999999" w:sz="4"/>
              <w:right w:val="single" w:color="999999" w:sz="4"/>
            </w:tcBorders>
            <w:tcMar>
              <w:top w:type="dxa" w:w="80"/>
              <w:left w:type="dxa" w:w="120"/>
              <w:bottom w:type="dxa" w:w="80"/>
              <w:right w:type="dxa" w:w="120"/>
            </w:tcMar>
          </w:tcPr>
          <w:p>
            <w:pPr>
              <w:spacing w:after="60" w:before="0"/>
              <w:jc w:val="left"/>
            </w:pPr>
            <w:r>
              <w:rPr>
                <w:i/>
                <w:iCs/>
                <w:sz w:val="18"/>
                <w:szCs w:val="18"/>
              </w:rPr>
              <w:t xml:space="preserve">Ubertini v Saeco International Group SpA (No 4) [2014] VSC 47</w:t>
            </w:r>
            <w:r>
              <w:rPr>
                <w:sz w:val="18"/>
                <w:szCs w:val="18"/>
              </w:rPr>
              <w:t xml:space="preserve"> — commercial unfairness; departure from standards of fair dealing</w:t>
            </w:r>
          </w:p>
          <w:p>
            <w:pPr>
              <w:spacing w:after="60" w:before="0"/>
              <w:jc w:val="left"/>
            </w:pPr>
            <w:r>
              <w:rPr>
                <w:i/>
                <w:iCs/>
                <w:sz w:val="18"/>
                <w:szCs w:val="18"/>
              </w:rPr>
              <w:t xml:space="preserve">Jolan P/L v Essential Investments P/L (No 2) [2021] FCA 1533</w:t>
            </w:r>
            <w:r>
              <w:rPr>
                <w:sz w:val="18"/>
                <w:szCs w:val="18"/>
              </w:rPr>
              <w:t xml:space="preserve"> — cumulative pattern of conduct; 'unfairness adds up' (Downes J)</w:t>
            </w:r>
          </w:p>
          <w:p>
            <w:pPr>
              <w:spacing w:after="60" w:before="0"/>
              <w:jc w:val="left"/>
            </w:pPr>
            <w:r>
              <w:rPr>
                <w:i/>
                <w:iCs/>
                <w:sz w:val="18"/>
                <w:szCs w:val="18"/>
              </w:rPr>
              <w:t xml:space="preserve">Catalano v Managing Australia Destinations P/L [2014] FCAFC 55</w:t>
            </w:r>
            <w:r>
              <w:rPr>
                <w:sz w:val="18"/>
                <w:szCs w:val="18"/>
              </w:rPr>
              <w:t xml:space="preserve"> — wrongful exclusion from management is oppression</w:t>
            </w:r>
          </w:p>
        </w:tc>
      </w:tr>
      <w:tr>
        <w:trPr>
          <w:cantSplit/>
        </w:trPr>
        <w:tc>
          <w:tcPr>
            <w:tcW w:type="dxa" w:w="1600"/>
            <w:tcBorders>
              <w:top w:val="single" w:color="999999" w:sz="4"/>
              <w:left w:val="single" w:color="999999" w:sz="4"/>
              <w:bottom w:val="single" w:color="999999" w:sz="4"/>
              <w:right w:val="single" w:color="999999" w:sz="4"/>
            </w:tcBorders>
            <w:shd w:fill="F2F2F2" w:color="auto" w:val="clear"/>
            <w:tcMar>
              <w:top w:type="dxa" w:w="80"/>
              <w:left w:type="dxa" w:w="120"/>
              <w:bottom w:type="dxa" w:w="80"/>
              <w:right w:type="dxa" w:w="120"/>
            </w:tcMar>
          </w:tcPr>
          <w:p>
            <w:pPr>
              <w:spacing w:after="60" w:before="0"/>
              <w:jc w:val="left"/>
            </w:pPr>
            <w:r>
              <w:rPr>
                <w:b w:val="false"/>
                <w:bCs w:val="false"/>
                <w:i w:val="false"/>
                <w:iCs w:val="false"/>
                <w:color w:val="000000"/>
                <w:sz w:val="18"/>
                <w:szCs w:val="18"/>
              </w:rPr>
              <w:t xml:space="preserve">29 Dec 2025</w:t>
            </w:r>
          </w:p>
        </w:tc>
        <w:tc>
          <w:tcPr>
            <w:tcW w:type="dxa" w:w="2600"/>
            <w:tcBorders>
              <w:top w:val="single" w:color="999999" w:sz="4"/>
              <w:left w:val="single" w:color="999999" w:sz="4"/>
              <w:bottom w:val="single" w:color="999999" w:sz="4"/>
              <w:right w:val="single" w:color="999999" w:sz="4"/>
            </w:tcBorders>
            <w:shd w:fill="F2F2F2" w:color="auto" w:val="clear"/>
            <w:tcMar>
              <w:top w:type="dxa" w:w="80"/>
              <w:left w:type="dxa" w:w="120"/>
              <w:bottom w:type="dxa" w:w="80"/>
              <w:right w:type="dxa" w:w="120"/>
            </w:tcMar>
          </w:tcPr>
          <w:p>
            <w:pPr>
              <w:spacing w:after="60" w:before="0"/>
              <w:jc w:val="left"/>
            </w:pPr>
            <w:r>
              <w:rPr>
                <w:b/>
                <w:bCs/>
                <w:i w:val="false"/>
                <w:iCs w:val="false"/>
                <w:color w:val="000000"/>
                <w:sz w:val="18"/>
                <w:szCs w:val="18"/>
              </w:rPr>
              <w:t xml:space="preserve">Unilateral cessation of Open Model Licence Fee (OMLF) payments to Shamir Holdings</w:t>
            </w:r>
          </w:p>
        </w:tc>
        <w:tc>
          <w:tcPr>
            <w:tcW w:type="dxa" w:w="2800"/>
            <w:tcBorders>
              <w:top w:val="single" w:color="999999" w:sz="4"/>
              <w:left w:val="single" w:color="999999" w:sz="4"/>
              <w:bottom w:val="single" w:color="999999" w:sz="4"/>
              <w:right w:val="single" w:color="999999" w:sz="4"/>
            </w:tcBorders>
            <w:shd w:fill="F2F2F2" w:color="auto" w:val="clear"/>
            <w:tcMar>
              <w:top w:type="dxa" w:w="80"/>
              <w:left w:type="dxa" w:w="120"/>
              <w:bottom w:type="dxa" w:w="80"/>
              <w:right w:type="dxa" w:w="120"/>
            </w:tcMar>
          </w:tcPr>
          <w:p>
            <w:pPr>
              <w:spacing w:after="60" w:before="0"/>
              <w:jc w:val="left"/>
            </w:pPr>
            <w:r>
              <w:rPr>
                <w:b w:val="false"/>
                <w:bCs w:val="false"/>
                <w:i w:val="false"/>
                <w:iCs w:val="false"/>
                <w:color w:val="000000"/>
                <w:sz w:val="18"/>
                <w:szCs w:val="18"/>
              </w:rPr>
              <w:t xml:space="preserve">Act by or on behalf of the company (s 232(b))</w:t>
            </w:r>
          </w:p>
          <w:p>
            <w:pPr>
              <w:spacing w:after="60" w:before="0"/>
              <w:jc w:val="left"/>
            </w:pPr>
            <w:r>
              <w:rPr>
                <w:b w:val="false"/>
                <w:bCs w:val="false"/>
                <w:i w:val="false"/>
                <w:iCs w:val="false"/>
                <w:color w:val="000000"/>
                <w:sz w:val="18"/>
                <w:szCs w:val="18"/>
              </w:rPr>
              <w:t xml:space="preserve">Unfairly prejudicial / discriminatory against minority (s 232(e))</w:t>
            </w:r>
          </w:p>
        </w:tc>
        <w:tc>
          <w:tcPr>
            <w:tcW w:type="dxa" w:w="4600"/>
            <w:tcBorders>
              <w:top w:val="single" w:color="999999" w:sz="4"/>
              <w:left w:val="single" w:color="999999" w:sz="4"/>
              <w:bottom w:val="single" w:color="999999" w:sz="4"/>
              <w:right w:val="single" w:color="999999" w:sz="4"/>
            </w:tcBorders>
            <w:shd w:fill="F2F2F2" w:color="auto" w:val="clear"/>
            <w:tcMar>
              <w:top w:type="dxa" w:w="80"/>
              <w:left w:type="dxa" w:w="120"/>
              <w:bottom w:type="dxa" w:w="80"/>
              <w:right w:type="dxa" w:w="120"/>
            </w:tcMar>
          </w:tcPr>
          <w:p>
            <w:pPr>
              <w:spacing w:after="60" w:before="0"/>
              <w:jc w:val="left"/>
            </w:pPr>
            <w:r>
              <w:rPr>
                <w:b w:val="false"/>
                <w:bCs w:val="false"/>
                <w:i w:val="false"/>
                <w:iCs w:val="false"/>
                <w:color w:val="000000"/>
                <w:sz w:val="18"/>
                <w:szCs w:val="18"/>
              </w:rPr>
              <w:t xml:space="preserve">Brad purported to cause the “controlling shareholder (82%), Marlau Trust” to determine that all OMLF payments (the licence fee payable by the Company to Shamir Holdings for use of Blender’s intellectual property, paid continuously for years) “are to cease with immediate effect”.</w:t>
            </w:r>
          </w:p>
          <w:p>
            <w:pPr>
              <w:spacing w:after="60" w:before="0"/>
              <w:jc w:val="left"/>
            </w:pPr>
            <w:r>
              <w:rPr>
                <w:b w:val="false"/>
                <w:bCs w:val="false"/>
                <w:i w:val="false"/>
                <w:iCs w:val="false"/>
                <w:color w:val="000000"/>
                <w:sz w:val="18"/>
                <w:szCs w:val="18"/>
              </w:rPr>
              <w:t xml:space="preserve">Brad bypassed Asaf as co-director entirely and used 82% voting power to terminate the minority shareholder’s principal related-entity remuneration stream, while Brad continued to benefit from the same IP through Mobivate/Vortex.</w:t>
            </w:r>
          </w:p>
        </w:tc>
        <w:tc>
          <w:tcPr>
            <w:tcW w:type="dxa" w:w="2800"/>
            <w:tcBorders>
              <w:top w:val="single" w:color="999999" w:sz="4"/>
              <w:left w:val="single" w:color="999999" w:sz="4"/>
              <w:bottom w:val="single" w:color="999999" w:sz="4"/>
              <w:right w:val="single" w:color="999999" w:sz="4"/>
            </w:tcBorders>
            <w:shd w:fill="F2F2F2" w:color="auto" w:val="clear"/>
            <w:tcMar>
              <w:top w:type="dxa" w:w="80"/>
              <w:left w:type="dxa" w:w="120"/>
              <w:bottom w:type="dxa" w:w="80"/>
              <w:right w:type="dxa" w:w="120"/>
            </w:tcMar>
          </w:tcPr>
          <w:p>
            <w:pPr>
              <w:spacing w:after="60" w:before="0"/>
              <w:jc w:val="left"/>
            </w:pPr>
            <w:r>
              <w:rPr>
                <w:i/>
                <w:iCs/>
                <w:sz w:val="18"/>
                <w:szCs w:val="18"/>
              </w:rPr>
              <w:t xml:space="preserve">Scottish Co-operative Wholesale Society Ltd v Meyer [1959] AC 324</w:t>
            </w:r>
            <w:r>
              <w:rPr>
                <w:sz w:val="18"/>
                <w:szCs w:val="18"/>
              </w:rPr>
              <w:t xml:space="preserve"> — burdensome, harsh and wrongful; parent diverting business from subsidiary</w:t>
            </w:r>
          </w:p>
          <w:p>
            <w:pPr>
              <w:spacing w:after="60" w:before="0"/>
              <w:jc w:val="left"/>
            </w:pPr>
            <w:r>
              <w:rPr>
                <w:i/>
                <w:iCs/>
                <w:sz w:val="18"/>
                <w:szCs w:val="18"/>
              </w:rPr>
              <w:t xml:space="preserve">Munstermann v Rayward [2017] NSWSC 133</w:t>
            </w:r>
            <w:r>
              <w:rPr>
                <w:sz w:val="18"/>
                <w:szCs w:val="18"/>
              </w:rPr>
              <w:t xml:space="preserve"> — refusing to authorise financial statements; salary manipulation; bullying = oppression</w:t>
            </w:r>
          </w:p>
          <w:p>
            <w:pPr>
              <w:spacing w:after="60" w:before="0"/>
              <w:jc w:val="left"/>
            </w:pPr>
            <w:r>
              <w:rPr>
                <w:i/>
                <w:iCs/>
                <w:sz w:val="18"/>
                <w:szCs w:val="18"/>
              </w:rPr>
              <w:t xml:space="preserve">Ubertini v Saeco International Group SpA (No 4) [2014] VSC 47</w:t>
            </w:r>
            <w:r>
              <w:rPr>
                <w:sz w:val="18"/>
                <w:szCs w:val="18"/>
              </w:rPr>
              <w:t xml:space="preserve"> — commercial unfairness; departure from standards of fair dealing</w:t>
            </w:r>
          </w:p>
        </w:tc>
      </w:tr>
      <w:tr>
        <w:trPr>
          <w:cantSplit/>
        </w:trPr>
        <w:tc>
          <w:tcPr>
            <w:tcW w:type="dxa" w:w="1600"/>
            <w:tcBorders>
              <w:top w:val="single" w:color="999999" w:sz="4"/>
              <w:left w:val="single" w:color="999999" w:sz="4"/>
              <w:bottom w:val="single" w:color="999999" w:sz="4"/>
              <w:right w:val="single" w:color="999999" w:sz="4"/>
            </w:tcBorders>
            <w:tcMar>
              <w:top w:type="dxa" w:w="80"/>
              <w:left w:type="dxa" w:w="120"/>
              <w:bottom w:type="dxa" w:w="80"/>
              <w:right w:type="dxa" w:w="120"/>
            </w:tcMar>
          </w:tcPr>
          <w:p>
            <w:pPr>
              <w:spacing w:after="60" w:before="0"/>
              <w:jc w:val="left"/>
            </w:pPr>
            <w:r>
              <w:rPr>
                <w:b w:val="false"/>
                <w:bCs w:val="false"/>
                <w:i w:val="false"/>
                <w:iCs w:val="false"/>
                <w:color w:val="000000"/>
                <w:sz w:val="18"/>
                <w:szCs w:val="18"/>
              </w:rPr>
              <w:t xml:space="preserve">29 Dec 2025</w:t>
            </w:r>
          </w:p>
        </w:tc>
        <w:tc>
          <w:tcPr>
            <w:tcW w:type="dxa" w:w="2600"/>
            <w:tcBorders>
              <w:top w:val="single" w:color="999999" w:sz="4"/>
              <w:left w:val="single" w:color="999999" w:sz="4"/>
              <w:bottom w:val="single" w:color="999999" w:sz="4"/>
              <w:right w:val="single" w:color="999999" w:sz="4"/>
            </w:tcBorders>
            <w:tcMar>
              <w:top w:type="dxa" w:w="80"/>
              <w:left w:type="dxa" w:w="120"/>
              <w:bottom w:type="dxa" w:w="80"/>
              <w:right w:type="dxa" w:w="120"/>
            </w:tcMar>
          </w:tcPr>
          <w:p>
            <w:pPr>
              <w:spacing w:after="60" w:before="0"/>
              <w:jc w:val="left"/>
            </w:pPr>
            <w:r>
              <w:rPr>
                <w:b/>
                <w:bCs/>
                <w:i w:val="false"/>
                <w:iCs w:val="false"/>
                <w:color w:val="000000"/>
                <w:sz w:val="18"/>
                <w:szCs w:val="18"/>
              </w:rPr>
              <w:t xml:space="preserve">Coercion of co-director through salary threat</w:t>
            </w:r>
          </w:p>
        </w:tc>
        <w:tc>
          <w:tcPr>
            <w:tcW w:type="dxa" w:w="2800"/>
            <w:tcBorders>
              <w:top w:val="single" w:color="999999" w:sz="4"/>
              <w:left w:val="single" w:color="999999" w:sz="4"/>
              <w:bottom w:val="single" w:color="999999" w:sz="4"/>
              <w:right w:val="single" w:color="999999" w:sz="4"/>
            </w:tcBorders>
            <w:tcMar>
              <w:top w:type="dxa" w:w="80"/>
              <w:left w:type="dxa" w:w="120"/>
              <w:bottom w:type="dxa" w:w="80"/>
              <w:right w:type="dxa" w:w="120"/>
            </w:tcMar>
          </w:tcPr>
          <w:p>
            <w:pPr>
              <w:spacing w:after="60" w:before="0"/>
              <w:jc w:val="left"/>
            </w:pPr>
            <w:r>
              <w:rPr>
                <w:b w:val="false"/>
                <w:bCs w:val="false"/>
                <w:i w:val="false"/>
                <w:iCs w:val="false"/>
                <w:color w:val="000000"/>
                <w:sz w:val="18"/>
                <w:szCs w:val="18"/>
              </w:rPr>
              <w:t xml:space="preserve">Oppressive conduct of company’s affairs (s 232(a), (e))</w:t>
            </w:r>
          </w:p>
          <w:p>
            <w:pPr>
              <w:spacing w:after="60" w:before="0"/>
              <w:jc w:val="left"/>
            </w:pPr>
            <w:r>
              <w:rPr>
                <w:b w:val="false"/>
                <w:bCs w:val="false"/>
                <w:i w:val="false"/>
                <w:iCs w:val="false"/>
                <w:color w:val="000000"/>
                <w:sz w:val="18"/>
                <w:szCs w:val="18"/>
              </w:rPr>
              <w:t xml:space="preserve">Bullying analogous to Munstermann</w:t>
            </w:r>
          </w:p>
        </w:tc>
        <w:tc>
          <w:tcPr>
            <w:tcW w:type="dxa" w:w="4600"/>
            <w:tcBorders>
              <w:top w:val="single" w:color="999999" w:sz="4"/>
              <w:left w:val="single" w:color="999999" w:sz="4"/>
              <w:bottom w:val="single" w:color="999999" w:sz="4"/>
              <w:right w:val="single" w:color="999999" w:sz="4"/>
            </w:tcBorders>
            <w:tcMar>
              <w:top w:type="dxa" w:w="80"/>
              <w:left w:type="dxa" w:w="120"/>
              <w:bottom w:type="dxa" w:w="80"/>
              <w:right w:type="dxa" w:w="120"/>
            </w:tcMar>
          </w:tcPr>
          <w:p>
            <w:pPr>
              <w:spacing w:after="60" w:before="0"/>
              <w:jc w:val="left"/>
            </w:pPr>
            <w:r>
              <w:rPr>
                <w:b w:val="false"/>
                <w:bCs w:val="false"/>
                <w:i w:val="false"/>
                <w:iCs w:val="false"/>
                <w:color w:val="000000"/>
                <w:sz w:val="18"/>
                <w:szCs w:val="18"/>
              </w:rPr>
              <w:t xml:space="preserve">Brad threatened to suspend Asaf’s director salary of AU$4,775.71/month, conditioning continued payment on Asaf’s “full compliance with the directions set out in this notice.” Using the Company’s remuneration as a lever to coerce submission by a co-director is conduct that no reasonable director would engage in.</w:t>
            </w:r>
          </w:p>
        </w:tc>
        <w:tc>
          <w:tcPr>
            <w:tcW w:type="dxa" w:w="2800"/>
            <w:tcBorders>
              <w:top w:val="single" w:color="999999" w:sz="4"/>
              <w:left w:val="single" w:color="999999" w:sz="4"/>
              <w:bottom w:val="single" w:color="999999" w:sz="4"/>
              <w:right w:val="single" w:color="999999" w:sz="4"/>
            </w:tcBorders>
            <w:tcMar>
              <w:top w:type="dxa" w:w="80"/>
              <w:left w:type="dxa" w:w="120"/>
              <w:bottom w:type="dxa" w:w="80"/>
              <w:right w:type="dxa" w:w="120"/>
            </w:tcMar>
          </w:tcPr>
          <w:p>
            <w:pPr>
              <w:spacing w:after="60" w:before="0"/>
              <w:jc w:val="left"/>
            </w:pPr>
            <w:r>
              <w:rPr>
                <w:i/>
                <w:iCs/>
                <w:sz w:val="18"/>
                <w:szCs w:val="18"/>
              </w:rPr>
              <w:t xml:space="preserve">Munstermann v Rayward [2017] NSWSC 133</w:t>
            </w:r>
            <w:r>
              <w:rPr>
                <w:sz w:val="18"/>
                <w:szCs w:val="18"/>
              </w:rPr>
              <w:t xml:space="preserve"> — refusing to authorise financial statements; salary manipulation; bullying = oppression</w:t>
            </w:r>
          </w:p>
          <w:p>
            <w:pPr>
              <w:spacing w:after="60" w:before="0"/>
              <w:jc w:val="left"/>
            </w:pPr>
            <w:r>
              <w:rPr>
                <w:i/>
                <w:iCs/>
                <w:sz w:val="18"/>
                <w:szCs w:val="18"/>
              </w:rPr>
              <w:t xml:space="preserve">Ubertini v Saeco International Group SpA (No 4) [2014] VSC 47</w:t>
            </w:r>
            <w:r>
              <w:rPr>
                <w:sz w:val="18"/>
                <w:szCs w:val="18"/>
              </w:rPr>
              <w:t xml:space="preserve"> — commercial unfairness; departure from standards of fair dealing</w:t>
            </w:r>
          </w:p>
        </w:tc>
      </w:tr>
      <w:tr>
        <w:trPr>
          <w:cantSplit/>
        </w:trPr>
        <w:tc>
          <w:tcPr>
            <w:tcW w:type="dxa" w:w="1600"/>
            <w:tcBorders>
              <w:top w:val="single" w:color="999999" w:sz="4"/>
              <w:left w:val="single" w:color="999999" w:sz="4"/>
              <w:bottom w:val="single" w:color="999999" w:sz="4"/>
              <w:right w:val="single" w:color="999999" w:sz="4"/>
            </w:tcBorders>
            <w:shd w:fill="F2F2F2" w:color="auto" w:val="clear"/>
            <w:tcMar>
              <w:top w:type="dxa" w:w="80"/>
              <w:left w:type="dxa" w:w="120"/>
              <w:bottom w:type="dxa" w:w="80"/>
              <w:right w:type="dxa" w:w="120"/>
            </w:tcMar>
          </w:tcPr>
          <w:p>
            <w:pPr>
              <w:spacing w:after="60" w:before="0"/>
              <w:jc w:val="left"/>
            </w:pPr>
            <w:r>
              <w:rPr>
                <w:b w:val="false"/>
                <w:bCs w:val="false"/>
                <w:i w:val="false"/>
                <w:iCs w:val="false"/>
                <w:color w:val="000000"/>
                <w:sz w:val="18"/>
                <w:szCs w:val="18"/>
              </w:rPr>
              <w:t xml:space="preserve">29 Dec 2025</w:t>
            </w:r>
          </w:p>
        </w:tc>
        <w:tc>
          <w:tcPr>
            <w:tcW w:type="dxa" w:w="2600"/>
            <w:tcBorders>
              <w:top w:val="single" w:color="999999" w:sz="4"/>
              <w:left w:val="single" w:color="999999" w:sz="4"/>
              <w:bottom w:val="single" w:color="999999" w:sz="4"/>
              <w:right w:val="single" w:color="999999" w:sz="4"/>
            </w:tcBorders>
            <w:shd w:fill="F2F2F2" w:color="auto" w:val="clear"/>
            <w:tcMar>
              <w:top w:type="dxa" w:w="80"/>
              <w:left w:type="dxa" w:w="120"/>
              <w:bottom w:type="dxa" w:w="80"/>
              <w:right w:type="dxa" w:w="120"/>
            </w:tcMar>
          </w:tcPr>
          <w:p>
            <w:pPr>
              <w:spacing w:after="60" w:before="0"/>
              <w:jc w:val="left"/>
            </w:pPr>
            <w:r>
              <w:rPr>
                <w:b/>
                <w:bCs/>
                <w:i w:val="false"/>
                <w:iCs w:val="false"/>
                <w:color w:val="000000"/>
                <w:sz w:val="18"/>
                <w:szCs w:val="18"/>
              </w:rPr>
              <w:t xml:space="preserve">Prohibition on contacting customers and revocation of operational access</w:t>
            </w:r>
          </w:p>
        </w:tc>
        <w:tc>
          <w:tcPr>
            <w:tcW w:type="dxa" w:w="2800"/>
            <w:tcBorders>
              <w:top w:val="single" w:color="999999" w:sz="4"/>
              <w:left w:val="single" w:color="999999" w:sz="4"/>
              <w:bottom w:val="single" w:color="999999" w:sz="4"/>
              <w:right w:val="single" w:color="999999" w:sz="4"/>
            </w:tcBorders>
            <w:shd w:fill="F2F2F2" w:color="auto" w:val="clear"/>
            <w:tcMar>
              <w:top w:type="dxa" w:w="80"/>
              <w:left w:type="dxa" w:w="120"/>
              <w:bottom w:type="dxa" w:w="80"/>
              <w:right w:type="dxa" w:w="120"/>
            </w:tcMar>
          </w:tcPr>
          <w:p>
            <w:pPr>
              <w:spacing w:after="60" w:before="0"/>
              <w:jc w:val="left"/>
            </w:pPr>
            <w:r>
              <w:rPr>
                <w:b w:val="false"/>
                <w:bCs w:val="false"/>
                <w:i w:val="false"/>
                <w:iCs w:val="false"/>
                <w:color w:val="000000"/>
                <w:sz w:val="18"/>
                <w:szCs w:val="18"/>
              </w:rPr>
              <w:t xml:space="preserve">Wrongful exclusion from management (s 232(e))</w:t>
            </w:r>
          </w:p>
          <w:p>
            <w:pPr>
              <w:spacing w:after="60" w:before="0"/>
              <w:jc w:val="left"/>
            </w:pPr>
            <w:r>
              <w:rPr>
                <w:b w:val="false"/>
                <w:bCs w:val="false"/>
                <w:i w:val="false"/>
                <w:iCs w:val="false"/>
                <w:color w:val="000000"/>
                <w:sz w:val="18"/>
                <w:szCs w:val="18"/>
              </w:rPr>
              <w:t xml:space="preserve">Paradigm oppression per Catalano</w:t>
            </w:r>
          </w:p>
        </w:tc>
        <w:tc>
          <w:tcPr>
            <w:tcW w:type="dxa" w:w="4600"/>
            <w:tcBorders>
              <w:top w:val="single" w:color="999999" w:sz="4"/>
              <w:left w:val="single" w:color="999999" w:sz="4"/>
              <w:bottom w:val="single" w:color="999999" w:sz="4"/>
              <w:right w:val="single" w:color="999999" w:sz="4"/>
            </w:tcBorders>
            <w:shd w:fill="F2F2F2" w:color="auto" w:val="clear"/>
            <w:tcMar>
              <w:top w:type="dxa" w:w="80"/>
              <w:left w:type="dxa" w:w="120"/>
              <w:bottom w:type="dxa" w:w="80"/>
              <w:right w:type="dxa" w:w="120"/>
            </w:tcMar>
          </w:tcPr>
          <w:p>
            <w:pPr>
              <w:spacing w:after="60" w:before="0"/>
              <w:jc w:val="left"/>
            </w:pPr>
            <w:r>
              <w:rPr>
                <w:b w:val="false"/>
                <w:bCs w:val="false"/>
                <w:i w:val="false"/>
                <w:iCs w:val="false"/>
                <w:color w:val="000000"/>
                <w:sz w:val="18"/>
                <w:szCs w:val="18"/>
              </w:rPr>
              <w:t xml:space="preserve">Brad prohibited Asaf from contacting any Mobivate employee or customer on an “absolute” basis, ringfencing the diverted customer base from the minority shareholder and preventing Asaf from discovering or responding to the ongoing revenue diversion. Brad also revoked Asaf’s access to operational systems including AWS, Cloudflare, and DigitalOcean (infrastructure on which the Company’s Blender platform depends), as well as Mobivate-controlled systems (JIRA, partner integrations, Mobivate-issued email) that Brad had required Asaf to use for 13 years as the Company’s customer-facing identity. The combined effect was to exclude Asaf from any meaningful oversight of the Company’s operations.</w:t>
            </w:r>
          </w:p>
        </w:tc>
        <w:tc>
          <w:tcPr>
            <w:tcW w:type="dxa" w:w="2800"/>
            <w:tcBorders>
              <w:top w:val="single" w:color="999999" w:sz="4"/>
              <w:left w:val="single" w:color="999999" w:sz="4"/>
              <w:bottom w:val="single" w:color="999999" w:sz="4"/>
              <w:right w:val="single" w:color="999999" w:sz="4"/>
            </w:tcBorders>
            <w:shd w:fill="F2F2F2" w:color="auto" w:val="clear"/>
            <w:tcMar>
              <w:top w:type="dxa" w:w="80"/>
              <w:left w:type="dxa" w:w="120"/>
              <w:bottom w:type="dxa" w:w="80"/>
              <w:right w:type="dxa" w:w="120"/>
            </w:tcMar>
          </w:tcPr>
          <w:p>
            <w:pPr>
              <w:spacing w:after="60" w:before="0"/>
              <w:jc w:val="left"/>
            </w:pPr>
            <w:r>
              <w:rPr>
                <w:i/>
                <w:iCs/>
                <w:sz w:val="18"/>
                <w:szCs w:val="18"/>
              </w:rPr>
              <w:t xml:space="preserve">Catalano v Managing Australia Destinations P/L [2014] FCAFC 55</w:t>
            </w:r>
            <w:r>
              <w:rPr>
                <w:sz w:val="18"/>
                <w:szCs w:val="18"/>
              </w:rPr>
              <w:t xml:space="preserve"> — wrongful exclusion from management is oppression</w:t>
            </w:r>
          </w:p>
          <w:p>
            <w:pPr>
              <w:spacing w:after="60" w:before="0"/>
              <w:jc w:val="left"/>
            </w:pPr>
            <w:r>
              <w:rPr>
                <w:i/>
                <w:iCs/>
                <w:sz w:val="18"/>
                <w:szCs w:val="18"/>
              </w:rPr>
              <w:t xml:space="preserve">Ubertini v Saeco International Group SpA (No 4) [2014] VSC 47</w:t>
            </w:r>
            <w:r>
              <w:rPr>
                <w:sz w:val="18"/>
                <w:szCs w:val="18"/>
              </w:rPr>
              <w:t xml:space="preserve"> — commercial unfairness; departure from standards of fair dealing</w:t>
            </w:r>
          </w:p>
          <w:p>
            <w:pPr>
              <w:spacing w:after="60" w:before="0"/>
              <w:jc w:val="left"/>
            </w:pPr>
            <w:r>
              <w:rPr>
                <w:i/>
                <w:iCs/>
                <w:sz w:val="18"/>
                <w:szCs w:val="18"/>
              </w:rPr>
              <w:t xml:space="preserve">Jolan P/L v Essential Investments P/L (No 2) [2021] FCA 1533</w:t>
            </w:r>
            <w:r>
              <w:rPr>
                <w:sz w:val="18"/>
                <w:szCs w:val="18"/>
              </w:rPr>
              <w:t xml:space="preserve"> — cumulative pattern of conduct; 'unfairness adds up' (Downes J)</w:t>
            </w:r>
          </w:p>
        </w:tc>
      </w:tr>
      <w:tr>
        <w:trPr>
          <w:cantSplit/>
        </w:trPr>
        <w:tc>
          <w:tcPr>
            <w:tcW w:type="dxa" w:w="1600"/>
            <w:tcBorders>
              <w:top w:val="single" w:color="999999" w:sz="4"/>
              <w:left w:val="single" w:color="999999" w:sz="4"/>
              <w:bottom w:val="single" w:color="999999" w:sz="4"/>
              <w:right w:val="single" w:color="999999" w:sz="4"/>
            </w:tcBorders>
            <w:tcMar>
              <w:top w:type="dxa" w:w="80"/>
              <w:left w:type="dxa" w:w="120"/>
              <w:bottom w:type="dxa" w:w="80"/>
              <w:right w:type="dxa" w:w="120"/>
            </w:tcMar>
          </w:tcPr>
          <w:p>
            <w:pPr>
              <w:spacing w:after="60" w:before="0"/>
              <w:jc w:val="left"/>
            </w:pPr>
            <w:r>
              <w:rPr>
                <w:b w:val="false"/>
                <w:bCs w:val="false"/>
                <w:i w:val="false"/>
                <w:iCs w:val="false"/>
                <w:color w:val="000000"/>
                <w:sz w:val="18"/>
                <w:szCs w:val="18"/>
              </w:rPr>
              <w:t xml:space="preserve">29 Dec 2025</w:t>
            </w:r>
          </w:p>
        </w:tc>
        <w:tc>
          <w:tcPr>
            <w:tcW w:type="dxa" w:w="2600"/>
            <w:tcBorders>
              <w:top w:val="single" w:color="999999" w:sz="4"/>
              <w:left w:val="single" w:color="999999" w:sz="4"/>
              <w:bottom w:val="single" w:color="999999" w:sz="4"/>
              <w:right w:val="single" w:color="999999" w:sz="4"/>
            </w:tcBorders>
            <w:tcMar>
              <w:top w:type="dxa" w:w="80"/>
              <w:left w:type="dxa" w:w="120"/>
              <w:bottom w:type="dxa" w:w="80"/>
              <w:right w:type="dxa" w:w="120"/>
            </w:tcMar>
          </w:tcPr>
          <w:p>
            <w:pPr>
              <w:spacing w:after="60" w:before="0"/>
              <w:jc w:val="left"/>
            </w:pPr>
            <w:r>
              <w:rPr>
                <w:b/>
                <w:bCs/>
                <w:i w:val="false"/>
                <w:iCs w:val="false"/>
                <w:color w:val="000000"/>
                <w:sz w:val="18"/>
                <w:szCs w:val="18"/>
              </w:rPr>
              <w:t xml:space="preserve">Purported unilateral cancellation of the EGM convened under the Shareholders Agreement</w:t>
            </w:r>
          </w:p>
        </w:tc>
        <w:tc>
          <w:tcPr>
            <w:tcW w:type="dxa" w:w="2800"/>
            <w:tcBorders>
              <w:top w:val="single" w:color="999999" w:sz="4"/>
              <w:left w:val="single" w:color="999999" w:sz="4"/>
              <w:bottom w:val="single" w:color="999999" w:sz="4"/>
              <w:right w:val="single" w:color="999999" w:sz="4"/>
            </w:tcBorders>
            <w:tcMar>
              <w:top w:type="dxa" w:w="80"/>
              <w:left w:type="dxa" w:w="120"/>
              <w:bottom w:type="dxa" w:w="80"/>
              <w:right w:type="dxa" w:w="120"/>
            </w:tcMar>
          </w:tcPr>
          <w:p>
            <w:pPr>
              <w:spacing w:after="60" w:before="0"/>
              <w:jc w:val="left"/>
            </w:pPr>
            <w:r>
              <w:rPr>
                <w:b w:val="false"/>
                <w:bCs w:val="false"/>
                <w:i w:val="false"/>
                <w:iCs w:val="false"/>
                <w:color w:val="000000"/>
                <w:sz w:val="18"/>
                <w:szCs w:val="18"/>
              </w:rPr>
              <w:t xml:space="preserve">Conduct of company’s affairs (s 232(a))</w:t>
            </w:r>
          </w:p>
          <w:p>
            <w:pPr>
              <w:spacing w:after="60" w:before="0"/>
              <w:jc w:val="left"/>
            </w:pPr>
            <w:r>
              <w:rPr>
                <w:b w:val="false"/>
                <w:bCs w:val="false"/>
                <w:i w:val="false"/>
                <w:iCs w:val="false"/>
                <w:color w:val="000000"/>
                <w:sz w:val="18"/>
                <w:szCs w:val="18"/>
              </w:rPr>
              <w:t xml:space="preserve">Conduct contrary to members as a whole (s 232(d))</w:t>
            </w:r>
          </w:p>
        </w:tc>
        <w:tc>
          <w:tcPr>
            <w:tcW w:type="dxa" w:w="4600"/>
            <w:tcBorders>
              <w:top w:val="single" w:color="999999" w:sz="4"/>
              <w:left w:val="single" w:color="999999" w:sz="4"/>
              <w:bottom w:val="single" w:color="999999" w:sz="4"/>
              <w:right w:val="single" w:color="999999" w:sz="4"/>
            </w:tcBorders>
            <w:tcMar>
              <w:top w:type="dxa" w:w="80"/>
              <w:left w:type="dxa" w:w="120"/>
              <w:bottom w:type="dxa" w:w="80"/>
              <w:right w:type="dxa" w:w="120"/>
            </w:tcMar>
          </w:tcPr>
          <w:p>
            <w:pPr>
              <w:spacing w:after="60" w:before="0"/>
              <w:jc w:val="left"/>
            </w:pPr>
            <w:r>
              <w:rPr>
                <w:b w:val="false"/>
                <w:bCs w:val="false"/>
                <w:i w:val="false"/>
                <w:iCs w:val="false"/>
                <w:color w:val="000000"/>
                <w:sz w:val="18"/>
                <w:szCs w:val="18"/>
              </w:rPr>
              <w:t xml:space="preserve">A director cannot unilaterally cancel a properly convened EGM. Brad purported to do so by declaring the EGM “futile” because Marlau would vote the resolutions down — an attempt to prevent the minority shareholder from exercising his governance rights under the Shareholders Agreement.</w:t>
            </w:r>
          </w:p>
        </w:tc>
        <w:tc>
          <w:tcPr>
            <w:tcW w:type="dxa" w:w="2800"/>
            <w:tcBorders>
              <w:top w:val="single" w:color="999999" w:sz="4"/>
              <w:left w:val="single" w:color="999999" w:sz="4"/>
              <w:bottom w:val="single" w:color="999999" w:sz="4"/>
              <w:right w:val="single" w:color="999999" w:sz="4"/>
            </w:tcBorders>
            <w:tcMar>
              <w:top w:type="dxa" w:w="80"/>
              <w:left w:type="dxa" w:w="120"/>
              <w:bottom w:type="dxa" w:w="80"/>
              <w:right w:type="dxa" w:w="120"/>
            </w:tcMar>
          </w:tcPr>
          <w:p>
            <w:pPr>
              <w:spacing w:after="60" w:before="0"/>
              <w:jc w:val="left"/>
            </w:pPr>
            <w:r>
              <w:rPr>
                <w:i/>
                <w:iCs/>
                <w:sz w:val="18"/>
                <w:szCs w:val="18"/>
              </w:rPr>
              <w:t xml:space="preserve">Catalano v Managing Australia Destinations P/L [2014] FCAFC 55</w:t>
            </w:r>
            <w:r>
              <w:rPr>
                <w:sz w:val="18"/>
                <w:szCs w:val="18"/>
              </w:rPr>
              <w:t xml:space="preserve"> — wrongful exclusion from management is oppression</w:t>
            </w:r>
          </w:p>
          <w:p>
            <w:pPr>
              <w:spacing w:after="60" w:before="0"/>
              <w:jc w:val="left"/>
            </w:pPr>
            <w:r>
              <w:rPr>
                <w:i/>
                <w:iCs/>
                <w:sz w:val="18"/>
                <w:szCs w:val="18"/>
              </w:rPr>
              <w:t xml:space="preserve">Ubertini v Saeco International Group SpA (No 4) [2014] VSC 47</w:t>
            </w:r>
            <w:r>
              <w:rPr>
                <w:sz w:val="18"/>
                <w:szCs w:val="18"/>
              </w:rPr>
              <w:t xml:space="preserve"> — commercial unfairness; departure from standards of fair dealing</w:t>
            </w:r>
          </w:p>
        </w:tc>
      </w:tr>
      <w:tr>
        <w:trPr>
          <w:cantSplit/>
        </w:trPr>
        <w:tc>
          <w:tcPr>
            <w:tcW w:type="dxa" w:w="1600"/>
            <w:tcBorders>
              <w:top w:val="single" w:color="999999" w:sz="4"/>
              <w:left w:val="single" w:color="999999" w:sz="4"/>
              <w:bottom w:val="single" w:color="999999" w:sz="4"/>
              <w:right w:val="single" w:color="999999" w:sz="4"/>
            </w:tcBorders>
            <w:shd w:fill="F2F2F2" w:color="auto" w:val="clear"/>
            <w:tcMar>
              <w:top w:type="dxa" w:w="80"/>
              <w:left w:type="dxa" w:w="120"/>
              <w:bottom w:type="dxa" w:w="80"/>
              <w:right w:type="dxa" w:w="120"/>
            </w:tcMar>
          </w:tcPr>
          <w:p>
            <w:pPr>
              <w:spacing w:after="60" w:before="0"/>
              <w:jc w:val="left"/>
            </w:pPr>
            <w:r>
              <w:rPr>
                <w:b w:val="false"/>
                <w:bCs w:val="false"/>
                <w:i w:val="false"/>
                <w:iCs w:val="false"/>
                <w:color w:val="000000"/>
                <w:sz w:val="18"/>
                <w:szCs w:val="18"/>
              </w:rPr>
              <w:t xml:space="preserve">Dec 2025 – Jan 2026</w:t>
            </w:r>
          </w:p>
        </w:tc>
        <w:tc>
          <w:tcPr>
            <w:tcW w:type="dxa" w:w="2600"/>
            <w:tcBorders>
              <w:top w:val="single" w:color="999999" w:sz="4"/>
              <w:left w:val="single" w:color="999999" w:sz="4"/>
              <w:bottom w:val="single" w:color="999999" w:sz="4"/>
              <w:right w:val="single" w:color="999999" w:sz="4"/>
            </w:tcBorders>
            <w:shd w:fill="F2F2F2" w:color="auto" w:val="clear"/>
            <w:tcMar>
              <w:top w:type="dxa" w:w="80"/>
              <w:left w:type="dxa" w:w="120"/>
              <w:bottom w:type="dxa" w:w="80"/>
              <w:right w:type="dxa" w:w="120"/>
            </w:tcMar>
          </w:tcPr>
          <w:p>
            <w:pPr>
              <w:spacing w:after="60" w:before="0"/>
              <w:jc w:val="left"/>
            </w:pPr>
            <w:r>
              <w:rPr>
                <w:b/>
                <w:bCs/>
                <w:i w:val="false"/>
                <w:iCs w:val="false"/>
                <w:color w:val="000000"/>
                <w:sz w:val="18"/>
                <w:szCs w:val="18"/>
              </w:rPr>
              <w:t xml:space="preserve">Refusal to pay undisputed Company invoices totalling AU$119,153.16</w:t>
            </w:r>
          </w:p>
        </w:tc>
        <w:tc>
          <w:tcPr>
            <w:tcW w:type="dxa" w:w="2800"/>
            <w:tcBorders>
              <w:top w:val="single" w:color="999999" w:sz="4"/>
              <w:left w:val="single" w:color="999999" w:sz="4"/>
              <w:bottom w:val="single" w:color="999999" w:sz="4"/>
              <w:right w:val="single" w:color="999999" w:sz="4"/>
            </w:tcBorders>
            <w:shd w:fill="F2F2F2" w:color="auto" w:val="clear"/>
            <w:tcMar>
              <w:top w:type="dxa" w:w="80"/>
              <w:left w:type="dxa" w:w="120"/>
              <w:bottom w:type="dxa" w:w="80"/>
              <w:right w:type="dxa" w:w="120"/>
            </w:tcMar>
          </w:tcPr>
          <w:p>
            <w:pPr>
              <w:spacing w:after="60" w:before="0"/>
              <w:jc w:val="left"/>
            </w:pPr>
            <w:r>
              <w:rPr>
                <w:b w:val="false"/>
                <w:bCs w:val="false"/>
                <w:i w:val="false"/>
                <w:iCs w:val="false"/>
                <w:color w:val="000000"/>
                <w:sz w:val="18"/>
                <w:szCs w:val="18"/>
              </w:rPr>
              <w:t xml:space="preserve">Act by or on behalf of the company (s 232(b))</w:t>
            </w:r>
          </w:p>
          <w:p>
            <w:pPr>
              <w:spacing w:after="60" w:before="0"/>
              <w:jc w:val="left"/>
            </w:pPr>
            <w:r>
              <w:rPr>
                <w:b w:val="false"/>
                <w:bCs w:val="false"/>
                <w:i w:val="false"/>
                <w:iCs w:val="false"/>
                <w:color w:val="000000"/>
                <w:sz w:val="18"/>
                <w:szCs w:val="18"/>
              </w:rPr>
              <w:t xml:space="preserve">Unfairly prejudicial to minority (s 232(e))</w:t>
            </w:r>
          </w:p>
        </w:tc>
        <w:tc>
          <w:tcPr>
            <w:tcW w:type="dxa" w:w="4600"/>
            <w:tcBorders>
              <w:top w:val="single" w:color="999999" w:sz="4"/>
              <w:left w:val="single" w:color="999999" w:sz="4"/>
              <w:bottom w:val="single" w:color="999999" w:sz="4"/>
              <w:right w:val="single" w:color="999999" w:sz="4"/>
            </w:tcBorders>
            <w:shd w:fill="F2F2F2" w:color="auto" w:val="clear"/>
            <w:tcMar>
              <w:top w:type="dxa" w:w="80"/>
              <w:left w:type="dxa" w:w="120"/>
              <w:bottom w:type="dxa" w:w="80"/>
              <w:right w:type="dxa" w:w="120"/>
            </w:tcMar>
          </w:tcPr>
          <w:p>
            <w:pPr>
              <w:spacing w:after="60" w:before="0"/>
              <w:jc w:val="left"/>
            </w:pPr>
            <w:r>
              <w:rPr>
                <w:b w:val="false"/>
                <w:bCs w:val="false"/>
                <w:i w:val="false"/>
                <w:iCs w:val="false"/>
                <w:color w:val="000000"/>
                <w:sz w:val="18"/>
                <w:szCs w:val="18"/>
              </w:rPr>
              <w:t xml:space="preserve">Brad refused to pay invoices 471 (AU$102,672.44, due 10 Dec 2025) and 474 (AU$16,480.72, due 13 Jan 2026). Brad does not contest that the invoices were issued or the services performed. He has instead asserted an unsubstantiated “overpayment” claim, demanding 5.5 years of historical client-level data before any payment is made.</w:t>
            </w:r>
          </w:p>
          <w:p>
            <w:pPr>
              <w:spacing w:after="60" w:before="0"/>
              <w:jc w:val="left"/>
            </w:pPr>
            <w:r>
              <w:rPr>
                <w:b w:val="false"/>
                <w:bCs w:val="false"/>
                <w:i w:val="false"/>
                <w:iCs w:val="false"/>
                <w:color w:val="000000"/>
                <w:sz w:val="18"/>
                <w:szCs w:val="18"/>
              </w:rPr>
              <w:t xml:space="preserve">Causing a competing related entity to withhold payment on undisputed invoices, starving the Company of cash flow while Brad continues to take revenue through Mobivate/Vortex, is squarely within s 232.</w:t>
            </w:r>
          </w:p>
        </w:tc>
        <w:tc>
          <w:tcPr>
            <w:tcW w:type="dxa" w:w="2800"/>
            <w:tcBorders>
              <w:top w:val="single" w:color="999999" w:sz="4"/>
              <w:left w:val="single" w:color="999999" w:sz="4"/>
              <w:bottom w:val="single" w:color="999999" w:sz="4"/>
              <w:right w:val="single" w:color="999999" w:sz="4"/>
            </w:tcBorders>
            <w:shd w:fill="F2F2F2" w:color="auto" w:val="clear"/>
            <w:tcMar>
              <w:top w:type="dxa" w:w="80"/>
              <w:left w:type="dxa" w:w="120"/>
              <w:bottom w:type="dxa" w:w="80"/>
              <w:right w:type="dxa" w:w="120"/>
            </w:tcMar>
          </w:tcPr>
          <w:p>
            <w:pPr>
              <w:spacing w:after="60" w:before="0"/>
              <w:jc w:val="left"/>
            </w:pPr>
            <w:r>
              <w:rPr>
                <w:i/>
                <w:iCs/>
                <w:sz w:val="18"/>
                <w:szCs w:val="18"/>
              </w:rPr>
              <w:t xml:space="preserve">Scottish Co-operative Wholesale Society Ltd v Meyer [1959] AC 324</w:t>
            </w:r>
            <w:r>
              <w:rPr>
                <w:sz w:val="18"/>
                <w:szCs w:val="18"/>
              </w:rPr>
              <w:t xml:space="preserve"> — burdensome, harsh and wrongful; parent diverting business from subsidiary</w:t>
            </w:r>
          </w:p>
          <w:p>
            <w:pPr>
              <w:spacing w:after="60" w:before="0"/>
              <w:jc w:val="left"/>
            </w:pPr>
            <w:r>
              <w:rPr>
                <w:i/>
                <w:iCs/>
                <w:sz w:val="18"/>
                <w:szCs w:val="18"/>
              </w:rPr>
              <w:t xml:space="preserve">Ubertini v Saeco International Group SpA (No 4) [2014] VSC 47</w:t>
            </w:r>
            <w:r>
              <w:rPr>
                <w:sz w:val="18"/>
                <w:szCs w:val="18"/>
              </w:rPr>
              <w:t xml:space="preserve"> — commercial unfairness; departure from standards of fair dealing</w:t>
            </w:r>
          </w:p>
        </w:tc>
      </w:tr>
      <w:tr>
        <w:trPr>
          <w:cantSplit/>
        </w:trPr>
        <w:tc>
          <w:tcPr>
            <w:tcW w:type="dxa" w:w="1600"/>
            <w:tcBorders>
              <w:top w:val="single" w:color="999999" w:sz="4"/>
              <w:left w:val="single" w:color="999999" w:sz="4"/>
              <w:bottom w:val="single" w:color="999999" w:sz="4"/>
              <w:right w:val="single" w:color="999999" w:sz="4"/>
            </w:tcBorders>
            <w:tcMar>
              <w:top w:type="dxa" w:w="80"/>
              <w:left w:type="dxa" w:w="120"/>
              <w:bottom w:type="dxa" w:w="80"/>
              <w:right w:type="dxa" w:w="120"/>
            </w:tcMar>
          </w:tcPr>
          <w:p>
            <w:pPr>
              <w:spacing w:after="60" w:before="0"/>
              <w:jc w:val="left"/>
            </w:pPr>
            <w:r>
              <w:rPr>
                <w:b w:val="false"/>
                <w:bCs w:val="false"/>
                <w:i w:val="false"/>
                <w:iCs w:val="false"/>
                <w:color w:val="000000"/>
                <w:sz w:val="18"/>
                <w:szCs w:val="18"/>
              </w:rPr>
              <w:t xml:space="preserve">15 Dec 2025</w:t>
            </w:r>
          </w:p>
        </w:tc>
        <w:tc>
          <w:tcPr>
            <w:tcW w:type="dxa" w:w="2600"/>
            <w:tcBorders>
              <w:top w:val="single" w:color="999999" w:sz="4"/>
              <w:left w:val="single" w:color="999999" w:sz="4"/>
              <w:bottom w:val="single" w:color="999999" w:sz="4"/>
              <w:right w:val="single" w:color="999999" w:sz="4"/>
            </w:tcBorders>
            <w:tcMar>
              <w:top w:type="dxa" w:w="80"/>
              <w:left w:type="dxa" w:w="120"/>
              <w:bottom w:type="dxa" w:w="80"/>
              <w:right w:type="dxa" w:w="120"/>
            </w:tcMar>
          </w:tcPr>
          <w:p>
            <w:pPr>
              <w:spacing w:after="60" w:before="0"/>
              <w:jc w:val="left"/>
            </w:pPr>
            <w:r>
              <w:rPr>
                <w:b/>
                <w:bCs/>
                <w:i w:val="false"/>
                <w:iCs w:val="false"/>
                <w:color w:val="000000"/>
                <w:sz w:val="18"/>
                <w:szCs w:val="18"/>
              </w:rPr>
              <w:t xml:space="preserve">Threats causing resignation of Company’s external accountants</w:t>
            </w:r>
          </w:p>
        </w:tc>
        <w:tc>
          <w:tcPr>
            <w:tcW w:type="dxa" w:w="2800"/>
            <w:tcBorders>
              <w:top w:val="single" w:color="999999" w:sz="4"/>
              <w:left w:val="single" w:color="999999" w:sz="4"/>
              <w:bottom w:val="single" w:color="999999" w:sz="4"/>
              <w:right w:val="single" w:color="999999" w:sz="4"/>
            </w:tcBorders>
            <w:tcMar>
              <w:top w:type="dxa" w:w="80"/>
              <w:left w:type="dxa" w:w="120"/>
              <w:bottom w:type="dxa" w:w="80"/>
              <w:right w:type="dxa" w:w="120"/>
            </w:tcMar>
          </w:tcPr>
          <w:p>
            <w:pPr>
              <w:spacing w:after="60" w:before="0"/>
              <w:jc w:val="left"/>
            </w:pPr>
            <w:r>
              <w:rPr>
                <w:b w:val="false"/>
                <w:bCs w:val="false"/>
                <w:i w:val="false"/>
                <w:iCs w:val="false"/>
                <w:color w:val="000000"/>
                <w:sz w:val="18"/>
                <w:szCs w:val="18"/>
              </w:rPr>
              <w:t xml:space="preserve">Conduct of company’s affairs by director (s 232(a))</w:t>
            </w:r>
          </w:p>
          <w:p>
            <w:pPr>
              <w:spacing w:after="60" w:before="0"/>
              <w:jc w:val="left"/>
            </w:pPr>
            <w:r>
              <w:rPr>
                <w:b w:val="false"/>
                <w:bCs w:val="false"/>
                <w:i w:val="false"/>
                <w:iCs w:val="false"/>
                <w:color w:val="000000"/>
                <w:sz w:val="18"/>
                <w:szCs w:val="18"/>
              </w:rPr>
              <w:t xml:space="preserve">Oppression through paralysis of corporate functions</w:t>
            </w:r>
          </w:p>
        </w:tc>
        <w:tc>
          <w:tcPr>
            <w:tcW w:type="dxa" w:w="4600"/>
            <w:tcBorders>
              <w:top w:val="single" w:color="999999" w:sz="4"/>
              <w:left w:val="single" w:color="999999" w:sz="4"/>
              <w:bottom w:val="single" w:color="999999" w:sz="4"/>
              <w:right w:val="single" w:color="999999" w:sz="4"/>
            </w:tcBorders>
            <w:tcMar>
              <w:top w:type="dxa" w:w="80"/>
              <w:left w:type="dxa" w:w="120"/>
              <w:bottom w:type="dxa" w:w="80"/>
              <w:right w:type="dxa" w:w="120"/>
            </w:tcMar>
          </w:tcPr>
          <w:p>
            <w:pPr>
              <w:spacing w:after="60" w:before="0"/>
              <w:jc w:val="left"/>
            </w:pPr>
            <w:r>
              <w:rPr>
                <w:b w:val="false"/>
                <w:bCs w:val="false"/>
                <w:i w:val="false"/>
                <w:iCs w:val="false"/>
                <w:color w:val="000000"/>
                <w:sz w:val="18"/>
                <w:szCs w:val="18"/>
              </w:rPr>
              <w:t xml:space="preserve">External accountants Green &amp; Sternfeld resigned from the Company’s engagement due to threats from Brad, further impeding the Company’s ability to meet statutory reporting obligations and compounding the late-lodgement exposure caused by Brad’s refusal to sign the accounts.</w:t>
            </w:r>
          </w:p>
          <w:p>
            <w:pPr>
              <w:spacing w:after="60" w:before="0"/>
              <w:jc w:val="left"/>
            </w:pPr>
            <w:r>
              <w:rPr>
                <w:b w:val="false"/>
                <w:bCs w:val="false"/>
                <w:i w:val="false"/>
                <w:iCs w:val="false"/>
                <w:color w:val="000000"/>
                <w:sz w:val="18"/>
                <w:szCs w:val="18"/>
              </w:rPr>
              <w:t xml:space="preserve">Conduct that paralyses a company’s basic governance functions has been expressly recognised as falling within s 232.</w:t>
            </w:r>
          </w:p>
        </w:tc>
        <w:tc>
          <w:tcPr>
            <w:tcW w:type="dxa" w:w="2800"/>
            <w:tcBorders>
              <w:top w:val="single" w:color="999999" w:sz="4"/>
              <w:left w:val="single" w:color="999999" w:sz="4"/>
              <w:bottom w:val="single" w:color="999999" w:sz="4"/>
              <w:right w:val="single" w:color="999999" w:sz="4"/>
            </w:tcBorders>
            <w:tcMar>
              <w:top w:type="dxa" w:w="80"/>
              <w:left w:type="dxa" w:w="120"/>
              <w:bottom w:type="dxa" w:w="80"/>
              <w:right w:type="dxa" w:w="120"/>
            </w:tcMar>
          </w:tcPr>
          <w:p>
            <w:pPr>
              <w:spacing w:after="60" w:before="0"/>
              <w:jc w:val="left"/>
            </w:pPr>
            <w:r>
              <w:rPr>
                <w:i/>
                <w:iCs/>
                <w:sz w:val="18"/>
                <w:szCs w:val="18"/>
              </w:rPr>
              <w:t xml:space="preserve">Munstermann v Rayward [2017] NSWSC 133</w:t>
            </w:r>
            <w:r>
              <w:rPr>
                <w:sz w:val="18"/>
                <w:szCs w:val="18"/>
              </w:rPr>
              <w:t xml:space="preserve"> — refusing to authorise financial statements; salary manipulation; bullying = oppression</w:t>
            </w:r>
          </w:p>
          <w:p>
            <w:pPr>
              <w:spacing w:after="60" w:before="0"/>
              <w:jc w:val="left"/>
            </w:pPr>
            <w:r>
              <w:rPr>
                <w:i/>
                <w:iCs/>
                <w:sz w:val="18"/>
                <w:szCs w:val="18"/>
              </w:rPr>
              <w:t xml:space="preserve">Ubertini v Saeco International Group SpA (No 4) [2014] VSC 47</w:t>
            </w:r>
            <w:r>
              <w:rPr>
                <w:sz w:val="18"/>
                <w:szCs w:val="18"/>
              </w:rPr>
              <w:t xml:space="preserve"> — commercial unfairness; departure from standards of fair dealing</w:t>
            </w:r>
          </w:p>
        </w:tc>
      </w:tr>
      <w:tr>
        <w:trPr>
          <w:cantSplit/>
        </w:trPr>
        <w:tc>
          <w:tcPr>
            <w:tcW w:type="dxa" w:w="1600"/>
            <w:tcBorders>
              <w:top w:val="single" w:color="999999" w:sz="4"/>
              <w:left w:val="single" w:color="999999" w:sz="4"/>
              <w:bottom w:val="single" w:color="999999" w:sz="4"/>
              <w:right w:val="single" w:color="999999" w:sz="4"/>
            </w:tcBorders>
            <w:shd w:fill="F2F2F2" w:color="auto" w:val="clear"/>
            <w:tcMar>
              <w:top w:type="dxa" w:w="80"/>
              <w:left w:type="dxa" w:w="120"/>
              <w:bottom w:type="dxa" w:w="80"/>
              <w:right w:type="dxa" w:w="120"/>
            </w:tcMar>
          </w:tcPr>
          <w:p>
            <w:pPr>
              <w:spacing w:after="60" w:before="0"/>
              <w:jc w:val="left"/>
            </w:pPr>
            <w:r>
              <w:rPr>
                <w:b w:val="false"/>
                <w:bCs w:val="false"/>
                <w:i w:val="false"/>
                <w:iCs w:val="false"/>
                <w:color w:val="000000"/>
                <w:sz w:val="18"/>
                <w:szCs w:val="18"/>
              </w:rPr>
              <w:t xml:space="preserve">Sep 2025 – to date</w:t>
            </w:r>
          </w:p>
        </w:tc>
        <w:tc>
          <w:tcPr>
            <w:tcW w:type="dxa" w:w="2600"/>
            <w:tcBorders>
              <w:top w:val="single" w:color="999999" w:sz="4"/>
              <w:left w:val="single" w:color="999999" w:sz="4"/>
              <w:bottom w:val="single" w:color="999999" w:sz="4"/>
              <w:right w:val="single" w:color="999999" w:sz="4"/>
            </w:tcBorders>
            <w:shd w:fill="F2F2F2" w:color="auto" w:val="clear"/>
            <w:tcMar>
              <w:top w:type="dxa" w:w="80"/>
              <w:left w:type="dxa" w:w="120"/>
              <w:bottom w:type="dxa" w:w="80"/>
              <w:right w:type="dxa" w:w="120"/>
            </w:tcMar>
          </w:tcPr>
          <w:p>
            <w:pPr>
              <w:spacing w:after="60" w:before="0"/>
              <w:jc w:val="left"/>
            </w:pPr>
            <w:r>
              <w:rPr>
                <w:b/>
                <w:bCs/>
                <w:i w:val="false"/>
                <w:iCs w:val="false"/>
                <w:color w:val="000000"/>
                <w:sz w:val="18"/>
                <w:szCs w:val="18"/>
              </w:rPr>
              <w:t xml:space="preserve">Continuing refusal to sign FY2024 financial statements</w:t>
            </w:r>
          </w:p>
        </w:tc>
        <w:tc>
          <w:tcPr>
            <w:tcW w:type="dxa" w:w="2800"/>
            <w:tcBorders>
              <w:top w:val="single" w:color="999999" w:sz="4"/>
              <w:left w:val="single" w:color="999999" w:sz="4"/>
              <w:bottom w:val="single" w:color="999999" w:sz="4"/>
              <w:right w:val="single" w:color="999999" w:sz="4"/>
            </w:tcBorders>
            <w:shd w:fill="F2F2F2" w:color="auto" w:val="clear"/>
            <w:tcMar>
              <w:top w:type="dxa" w:w="80"/>
              <w:left w:type="dxa" w:w="120"/>
              <w:bottom w:type="dxa" w:w="80"/>
              <w:right w:type="dxa" w:w="120"/>
            </w:tcMar>
          </w:tcPr>
          <w:p>
            <w:pPr>
              <w:spacing w:after="60" w:before="0"/>
              <w:jc w:val="left"/>
            </w:pPr>
            <w:r>
              <w:rPr>
                <w:b w:val="false"/>
                <w:bCs w:val="false"/>
                <w:i w:val="false"/>
                <w:iCs w:val="false"/>
                <w:color w:val="000000"/>
                <w:sz w:val="18"/>
                <w:szCs w:val="18"/>
              </w:rPr>
              <w:t xml:space="preserve">Conduct of company’s affairs (s 232(a))</w:t>
            </w:r>
          </w:p>
          <w:p>
            <w:pPr>
              <w:spacing w:after="60" w:before="0"/>
              <w:jc w:val="left"/>
            </w:pPr>
            <w:r>
              <w:rPr>
                <w:b w:val="false"/>
                <w:bCs w:val="false"/>
                <w:i w:val="false"/>
                <w:iCs w:val="false"/>
                <w:color w:val="000000"/>
                <w:sz w:val="18"/>
                <w:szCs w:val="18"/>
              </w:rPr>
              <w:t xml:space="preserve">Oppressive conduct — Munstermann category</w:t>
            </w:r>
          </w:p>
        </w:tc>
        <w:tc>
          <w:tcPr>
            <w:tcW w:type="dxa" w:w="4600"/>
            <w:tcBorders>
              <w:top w:val="single" w:color="999999" w:sz="4"/>
              <w:left w:val="single" w:color="999999" w:sz="4"/>
              <w:bottom w:val="single" w:color="999999" w:sz="4"/>
              <w:right w:val="single" w:color="999999" w:sz="4"/>
            </w:tcBorders>
            <w:shd w:fill="F2F2F2" w:color="auto" w:val="clear"/>
            <w:tcMar>
              <w:top w:type="dxa" w:w="80"/>
              <w:left w:type="dxa" w:w="120"/>
              <w:bottom w:type="dxa" w:w="80"/>
              <w:right w:type="dxa" w:w="120"/>
            </w:tcMar>
          </w:tcPr>
          <w:p>
            <w:pPr>
              <w:spacing w:after="60" w:before="0"/>
              <w:jc w:val="left"/>
            </w:pPr>
            <w:r>
              <w:rPr>
                <w:b w:val="false"/>
                <w:bCs w:val="false"/>
                <w:i w:val="false"/>
                <w:iCs w:val="false"/>
                <w:color w:val="000000"/>
                <w:sz w:val="18"/>
                <w:szCs w:val="18"/>
              </w:rPr>
              <w:t xml:space="preserve">Brad has refused to sign FY2024 financial statements unless the License Fee and R&amp;D expense are reclassified in the manner he demands — creating ongoing late-lodgement exposure with the ATO and ASIC and preventing the Company from fulfilling statutory obligations. This conduct is indistinguishable in substance from the refusal-to-authorise-financial-statements conduct held to be oppressive in Munstermann.</w:t>
            </w:r>
          </w:p>
        </w:tc>
        <w:tc>
          <w:tcPr>
            <w:tcW w:type="dxa" w:w="2800"/>
            <w:tcBorders>
              <w:top w:val="single" w:color="999999" w:sz="4"/>
              <w:left w:val="single" w:color="999999" w:sz="4"/>
              <w:bottom w:val="single" w:color="999999" w:sz="4"/>
              <w:right w:val="single" w:color="999999" w:sz="4"/>
            </w:tcBorders>
            <w:shd w:fill="F2F2F2" w:color="auto" w:val="clear"/>
            <w:tcMar>
              <w:top w:type="dxa" w:w="80"/>
              <w:left w:type="dxa" w:w="120"/>
              <w:bottom w:type="dxa" w:w="80"/>
              <w:right w:type="dxa" w:w="120"/>
            </w:tcMar>
          </w:tcPr>
          <w:p>
            <w:pPr>
              <w:spacing w:after="60" w:before="0"/>
              <w:jc w:val="left"/>
            </w:pPr>
            <w:r>
              <w:rPr>
                <w:i/>
                <w:iCs/>
                <w:sz w:val="18"/>
                <w:szCs w:val="18"/>
              </w:rPr>
              <w:t xml:space="preserve">Munstermann v Rayward [2017] NSWSC 133</w:t>
            </w:r>
            <w:r>
              <w:rPr>
                <w:sz w:val="18"/>
                <w:szCs w:val="18"/>
              </w:rPr>
              <w:t xml:space="preserve"> — refusing to authorise financial statements; salary manipulation; bullying = oppression</w:t>
            </w:r>
          </w:p>
        </w:tc>
      </w:tr>
      <w:tr>
        <w:trPr>
          <w:cantSplit/>
        </w:trPr>
        <w:tc>
          <w:tcPr>
            <w:tcW w:type="dxa" w:w="1600"/>
            <w:tcBorders>
              <w:top w:val="single" w:color="999999" w:sz="4"/>
              <w:left w:val="single" w:color="999999" w:sz="4"/>
              <w:bottom w:val="single" w:color="999999" w:sz="4"/>
              <w:right w:val="single" w:color="999999" w:sz="4"/>
            </w:tcBorders>
            <w:tcMar>
              <w:top w:type="dxa" w:w="80"/>
              <w:left w:type="dxa" w:w="120"/>
              <w:bottom w:type="dxa" w:w="80"/>
              <w:right w:type="dxa" w:w="120"/>
            </w:tcMar>
          </w:tcPr>
          <w:p>
            <w:pPr>
              <w:spacing w:after="60" w:before="0"/>
              <w:jc w:val="left"/>
            </w:pPr>
            <w:r>
              <w:rPr>
                <w:b w:val="false"/>
                <w:bCs w:val="false"/>
                <w:i w:val="false"/>
                <w:iCs w:val="false"/>
                <w:color w:val="000000"/>
                <w:sz w:val="18"/>
                <w:szCs w:val="18"/>
              </w:rPr>
              <w:t xml:space="preserve">19 Jan 2026</w:t>
            </w:r>
          </w:p>
        </w:tc>
        <w:tc>
          <w:tcPr>
            <w:tcW w:type="dxa" w:w="2600"/>
            <w:tcBorders>
              <w:top w:val="single" w:color="999999" w:sz="4"/>
              <w:left w:val="single" w:color="999999" w:sz="4"/>
              <w:bottom w:val="single" w:color="999999" w:sz="4"/>
              <w:right w:val="single" w:color="999999" w:sz="4"/>
            </w:tcBorders>
            <w:tcMar>
              <w:top w:type="dxa" w:w="80"/>
              <w:left w:type="dxa" w:w="120"/>
              <w:bottom w:type="dxa" w:w="80"/>
              <w:right w:type="dxa" w:w="120"/>
            </w:tcMar>
          </w:tcPr>
          <w:p>
            <w:pPr>
              <w:spacing w:after="60" w:before="0"/>
              <w:jc w:val="left"/>
            </w:pPr>
            <w:r>
              <w:rPr>
                <w:b/>
                <w:bCs/>
                <w:i w:val="false"/>
                <w:iCs w:val="false"/>
                <w:color w:val="000000"/>
                <w:sz w:val="18"/>
                <w:szCs w:val="18"/>
              </w:rPr>
              <w:t xml:space="preserve">EGM freeze-out: 82% bloc defeats every resolution proposed by minority</w:t>
            </w:r>
          </w:p>
        </w:tc>
        <w:tc>
          <w:tcPr>
            <w:tcW w:type="dxa" w:w="2800"/>
            <w:tcBorders>
              <w:top w:val="single" w:color="999999" w:sz="4"/>
              <w:left w:val="single" w:color="999999" w:sz="4"/>
              <w:bottom w:val="single" w:color="999999" w:sz="4"/>
              <w:right w:val="single" w:color="999999" w:sz="4"/>
            </w:tcBorders>
            <w:tcMar>
              <w:top w:type="dxa" w:w="80"/>
              <w:left w:type="dxa" w:w="120"/>
              <w:bottom w:type="dxa" w:w="80"/>
              <w:right w:type="dxa" w:w="120"/>
            </w:tcMar>
          </w:tcPr>
          <w:p>
            <w:pPr>
              <w:spacing w:after="60" w:before="0"/>
              <w:jc w:val="left"/>
            </w:pPr>
            <w:r>
              <w:rPr>
                <w:b w:val="false"/>
                <w:bCs w:val="false"/>
                <w:i w:val="false"/>
                <w:iCs w:val="false"/>
                <w:color w:val="000000"/>
                <w:sz w:val="18"/>
                <w:szCs w:val="18"/>
              </w:rPr>
              <w:t xml:space="preserve">Resolution of members (s 232(c))</w:t>
            </w:r>
          </w:p>
          <w:p>
            <w:pPr>
              <w:spacing w:after="60" w:before="0"/>
              <w:jc w:val="left"/>
            </w:pPr>
            <w:r>
              <w:rPr>
                <w:b w:val="false"/>
                <w:bCs w:val="false"/>
                <w:i w:val="false"/>
                <w:iCs w:val="false"/>
                <w:color w:val="000000"/>
                <w:sz w:val="18"/>
                <w:szCs w:val="18"/>
              </w:rPr>
              <w:t xml:space="preserve">Oppressive use of majority voting power (s 232(e))</w:t>
            </w:r>
          </w:p>
        </w:tc>
        <w:tc>
          <w:tcPr>
            <w:tcW w:type="dxa" w:w="4600"/>
            <w:tcBorders>
              <w:top w:val="single" w:color="999999" w:sz="4"/>
              <w:left w:val="single" w:color="999999" w:sz="4"/>
              <w:bottom w:val="single" w:color="999999" w:sz="4"/>
              <w:right w:val="single" w:color="999999" w:sz="4"/>
            </w:tcBorders>
            <w:tcMar>
              <w:top w:type="dxa" w:w="80"/>
              <w:left w:type="dxa" w:w="120"/>
              <w:bottom w:type="dxa" w:w="80"/>
              <w:right w:type="dxa" w:w="120"/>
            </w:tcMar>
          </w:tcPr>
          <w:p>
            <w:pPr>
              <w:spacing w:after="60" w:before="0"/>
              <w:jc w:val="left"/>
            </w:pPr>
            <w:r>
              <w:rPr>
                <w:b w:val="false"/>
                <w:bCs w:val="false"/>
                <w:i w:val="false"/>
                <w:iCs w:val="false"/>
                <w:color w:val="000000"/>
                <w:sz w:val="18"/>
                <w:szCs w:val="18"/>
              </w:rPr>
              <w:t xml:space="preserve">Asaf proposed six resolutions at the properly convened EGM, including removal of Brad as director for breach of fiduciary and statutory duties, authorisation of an account of profits, a letter to Mobivate demanding reimbursement, and engagement of an independent forensic IT consultant and forensic accountant. Martin Gishen (Marlau Trust, 82%) voted against all six. All resolutions were defeated.</w:t>
            </w:r>
          </w:p>
          <w:p>
            <w:pPr>
              <w:spacing w:after="60" w:before="0"/>
              <w:jc w:val="left"/>
            </w:pPr>
            <w:r>
              <w:rPr>
                <w:b w:val="false"/>
                <w:bCs w:val="false"/>
                <w:i w:val="false"/>
                <w:iCs w:val="false"/>
                <w:color w:val="000000"/>
                <w:sz w:val="18"/>
                <w:szCs w:val="18"/>
              </w:rPr>
              <w:t xml:space="preserve">Martin Gishen stated that he does not “inquire into Brad’s business” and acknowledged that by voting against the resolutions the Trust itself stood to lose future dividends — a conscious decision to forgo return rather than permit scrutiny of Brad’s diversion. Classic majority-shareholder freeze-out: the minority cannot obtain corporate remedy for the majority’s misconduct through the Company’s own governance, making recourse to the Court under ss 232–233 necessary.</w:t>
            </w:r>
          </w:p>
        </w:tc>
        <w:tc>
          <w:tcPr>
            <w:tcW w:type="dxa" w:w="2800"/>
            <w:tcBorders>
              <w:top w:val="single" w:color="999999" w:sz="4"/>
              <w:left w:val="single" w:color="999999" w:sz="4"/>
              <w:bottom w:val="single" w:color="999999" w:sz="4"/>
              <w:right w:val="single" w:color="999999" w:sz="4"/>
            </w:tcBorders>
            <w:tcMar>
              <w:top w:type="dxa" w:w="80"/>
              <w:left w:type="dxa" w:w="120"/>
              <w:bottom w:type="dxa" w:w="80"/>
              <w:right w:type="dxa" w:w="120"/>
            </w:tcMar>
          </w:tcPr>
          <w:p>
            <w:pPr>
              <w:spacing w:after="60" w:before="0"/>
              <w:jc w:val="left"/>
            </w:pPr>
            <w:r>
              <w:rPr>
                <w:i/>
                <w:iCs/>
                <w:sz w:val="18"/>
                <w:szCs w:val="18"/>
              </w:rPr>
              <w:t xml:space="preserve">Scottish Co-operative Wholesale Society Ltd v Meyer [1959] AC 324</w:t>
            </w:r>
            <w:r>
              <w:rPr>
                <w:sz w:val="18"/>
                <w:szCs w:val="18"/>
              </w:rPr>
              <w:t xml:space="preserve"> — burdensome, harsh and wrongful; parent diverting business from subsidiary</w:t>
            </w:r>
          </w:p>
          <w:p>
            <w:pPr>
              <w:spacing w:after="60" w:before="0"/>
              <w:jc w:val="left"/>
            </w:pPr>
            <w:r>
              <w:rPr>
                <w:i/>
                <w:iCs/>
                <w:sz w:val="18"/>
                <w:szCs w:val="18"/>
              </w:rPr>
              <w:t xml:space="preserve">Jolan P/L v Essential Investments P/L (No 2) [2021] FCA 1533</w:t>
            </w:r>
            <w:r>
              <w:rPr>
                <w:sz w:val="18"/>
                <w:szCs w:val="18"/>
              </w:rPr>
              <w:t xml:space="preserve"> — cumulative pattern of conduct; 'unfairness adds up' (Downes J)</w:t>
            </w:r>
          </w:p>
          <w:p>
            <w:pPr>
              <w:spacing w:after="60" w:before="0"/>
              <w:jc w:val="left"/>
            </w:pPr>
            <w:r>
              <w:rPr>
                <w:i/>
                <w:iCs/>
                <w:sz w:val="18"/>
                <w:szCs w:val="18"/>
              </w:rPr>
              <w:t xml:space="preserve">Morgan v 45 Flers Ave P/L (1986) 10 ACLR 692</w:t>
            </w:r>
            <w:r>
              <w:rPr>
                <w:sz w:val="18"/>
                <w:szCs w:val="18"/>
              </w:rPr>
              <w:t xml:space="preserve"> — unfairness central; cumulative assessment</w:t>
            </w:r>
          </w:p>
        </w:tc>
      </w:tr>
      <w:tr>
        <w:trPr>
          <w:cantSplit/>
        </w:trPr>
        <w:tc>
          <w:tcPr>
            <w:tcW w:type="dxa" w:w="1600"/>
            <w:tcBorders>
              <w:top w:val="single" w:color="999999" w:sz="4"/>
              <w:left w:val="single" w:color="999999" w:sz="4"/>
              <w:bottom w:val="single" w:color="999999" w:sz="4"/>
              <w:right w:val="single" w:color="999999" w:sz="4"/>
            </w:tcBorders>
            <w:shd w:fill="F2F2F2" w:color="auto" w:val="clear"/>
            <w:tcMar>
              <w:top w:type="dxa" w:w="80"/>
              <w:left w:type="dxa" w:w="120"/>
              <w:bottom w:type="dxa" w:w="80"/>
              <w:right w:type="dxa" w:w="120"/>
            </w:tcMar>
          </w:tcPr>
          <w:p>
            <w:pPr>
              <w:spacing w:after="60" w:before="0"/>
              <w:jc w:val="left"/>
            </w:pPr>
            <w:r>
              <w:rPr>
                <w:b w:val="false"/>
                <w:bCs w:val="false"/>
                <w:i w:val="false"/>
                <w:iCs w:val="false"/>
                <w:color w:val="000000"/>
                <w:sz w:val="18"/>
                <w:szCs w:val="18"/>
              </w:rPr>
              <w:t xml:space="preserve">8 Dec 2025</w:t>
            </w:r>
          </w:p>
        </w:tc>
        <w:tc>
          <w:tcPr>
            <w:tcW w:type="dxa" w:w="2600"/>
            <w:tcBorders>
              <w:top w:val="single" w:color="999999" w:sz="4"/>
              <w:left w:val="single" w:color="999999" w:sz="4"/>
              <w:bottom w:val="single" w:color="999999" w:sz="4"/>
              <w:right w:val="single" w:color="999999" w:sz="4"/>
            </w:tcBorders>
            <w:shd w:fill="F2F2F2" w:color="auto" w:val="clear"/>
            <w:tcMar>
              <w:top w:type="dxa" w:w="80"/>
              <w:left w:type="dxa" w:w="120"/>
              <w:bottom w:type="dxa" w:w="80"/>
              <w:right w:type="dxa" w:w="120"/>
            </w:tcMar>
          </w:tcPr>
          <w:p>
            <w:pPr>
              <w:spacing w:after="60" w:before="0"/>
              <w:jc w:val="left"/>
            </w:pPr>
            <w:r>
              <w:rPr>
                <w:b/>
                <w:bCs/>
                <w:i w:val="false"/>
                <w:iCs w:val="false"/>
                <w:color w:val="000000"/>
                <w:sz w:val="18"/>
                <w:szCs w:val="18"/>
              </w:rPr>
              <w:t xml:space="preserve">Silent disabling of routing causing TCI Health 2FA outage</w:t>
            </w:r>
          </w:p>
        </w:tc>
        <w:tc>
          <w:tcPr>
            <w:tcW w:type="dxa" w:w="2800"/>
            <w:tcBorders>
              <w:top w:val="single" w:color="999999" w:sz="4"/>
              <w:left w:val="single" w:color="999999" w:sz="4"/>
              <w:bottom w:val="single" w:color="999999" w:sz="4"/>
              <w:right w:val="single" w:color="999999" w:sz="4"/>
            </w:tcBorders>
            <w:shd w:fill="F2F2F2" w:color="auto" w:val="clear"/>
            <w:tcMar>
              <w:top w:type="dxa" w:w="80"/>
              <w:left w:type="dxa" w:w="120"/>
              <w:bottom w:type="dxa" w:w="80"/>
              <w:right w:type="dxa" w:w="120"/>
            </w:tcMar>
          </w:tcPr>
          <w:p>
            <w:pPr>
              <w:spacing w:after="60" w:before="0"/>
              <w:jc w:val="left"/>
            </w:pPr>
            <w:r>
              <w:rPr>
                <w:b w:val="false"/>
                <w:bCs w:val="false"/>
                <w:i w:val="false"/>
                <w:iCs w:val="false"/>
                <w:color w:val="000000"/>
                <w:sz w:val="18"/>
                <w:szCs w:val="18"/>
              </w:rPr>
              <w:t xml:space="preserve">Act by or on behalf of the company (s 232(b))</w:t>
            </w:r>
          </w:p>
          <w:p>
            <w:pPr>
              <w:spacing w:after="60" w:before="0"/>
              <w:jc w:val="left"/>
            </w:pPr>
            <w:r>
              <w:rPr>
                <w:b w:val="false"/>
                <w:bCs w:val="false"/>
                <w:i w:val="false"/>
                <w:iCs w:val="false"/>
                <w:color w:val="000000"/>
                <w:sz w:val="18"/>
                <w:szCs w:val="18"/>
              </w:rPr>
              <w:t xml:space="preserve">Conduct contrary to interests of members as a whole (s 232(d))</w:t>
            </w:r>
          </w:p>
        </w:tc>
        <w:tc>
          <w:tcPr>
            <w:tcW w:type="dxa" w:w="4600"/>
            <w:tcBorders>
              <w:top w:val="single" w:color="999999" w:sz="4"/>
              <w:left w:val="single" w:color="999999" w:sz="4"/>
              <w:bottom w:val="single" w:color="999999" w:sz="4"/>
              <w:right w:val="single" w:color="999999" w:sz="4"/>
            </w:tcBorders>
            <w:shd w:fill="F2F2F2" w:color="auto" w:val="clear"/>
            <w:tcMar>
              <w:top w:type="dxa" w:w="80"/>
              <w:left w:type="dxa" w:w="120"/>
              <w:bottom w:type="dxa" w:w="80"/>
              <w:right w:type="dxa" w:w="120"/>
            </w:tcMar>
          </w:tcPr>
          <w:p>
            <w:pPr>
              <w:spacing w:after="60" w:before="0"/>
              <w:jc w:val="left"/>
            </w:pPr>
            <w:r>
              <w:rPr>
                <w:b w:val="false"/>
                <w:bCs w:val="false"/>
                <w:i w:val="false"/>
                <w:iCs w:val="false"/>
                <w:color w:val="000000"/>
                <w:sz w:val="18"/>
                <w:szCs w:val="18"/>
              </w:rPr>
              <w:t xml:space="preserve">Brad / Mobivate silently disabled the routing of the Company’s customer traffic through api.mobivatebulksms.com, causing a critical outage for TCI Health (a healthcare customer relying on the platform for two-factor authentication). The CEO of TCI Health’s integrator confirmed “no SMSs were actually sent” and “many users got locked out of the system.” The outage was only resolved by switching to the Company’s own smsapi.rawmobility.com endpoint.</w:t>
            </w:r>
          </w:p>
          <w:p>
            <w:pPr>
              <w:spacing w:after="60" w:before="0"/>
              <w:jc w:val="left"/>
            </w:pPr>
            <w:r>
              <w:rPr>
                <w:b w:val="false"/>
                <w:bCs w:val="false"/>
                <w:i w:val="false"/>
                <w:iCs w:val="false"/>
                <w:color w:val="000000"/>
                <w:sz w:val="18"/>
                <w:szCs w:val="18"/>
              </w:rPr>
              <w:t xml:space="preserve">A director causing a customer-facing service outage to the Company’s customers for the benefit of a competing related entity is conduct no reasonable director would engage in.</w:t>
            </w:r>
          </w:p>
        </w:tc>
        <w:tc>
          <w:tcPr>
            <w:tcW w:type="dxa" w:w="2800"/>
            <w:tcBorders>
              <w:top w:val="single" w:color="999999" w:sz="4"/>
              <w:left w:val="single" w:color="999999" w:sz="4"/>
              <w:bottom w:val="single" w:color="999999" w:sz="4"/>
              <w:right w:val="single" w:color="999999" w:sz="4"/>
            </w:tcBorders>
            <w:shd w:fill="F2F2F2" w:color="auto" w:val="clear"/>
            <w:tcMar>
              <w:top w:type="dxa" w:w="80"/>
              <w:left w:type="dxa" w:w="120"/>
              <w:bottom w:type="dxa" w:w="80"/>
              <w:right w:type="dxa" w:w="120"/>
            </w:tcMar>
          </w:tcPr>
          <w:p>
            <w:pPr>
              <w:spacing w:after="60" w:before="0"/>
              <w:jc w:val="left"/>
            </w:pPr>
            <w:r>
              <w:rPr>
                <w:i/>
                <w:iCs/>
                <w:sz w:val="18"/>
                <w:szCs w:val="18"/>
              </w:rPr>
              <w:t xml:space="preserve">Scottish Co-operative Wholesale Society Ltd v Meyer [1959] AC 324</w:t>
            </w:r>
            <w:r>
              <w:rPr>
                <w:sz w:val="18"/>
                <w:szCs w:val="18"/>
              </w:rPr>
              <w:t xml:space="preserve"> — burdensome, harsh and wrongful; parent diverting business from subsidiary</w:t>
            </w:r>
          </w:p>
          <w:p>
            <w:pPr>
              <w:spacing w:after="60" w:before="0"/>
              <w:jc w:val="left"/>
            </w:pPr>
            <w:r>
              <w:rPr>
                <w:i/>
                <w:iCs/>
                <w:sz w:val="18"/>
                <w:szCs w:val="18"/>
              </w:rPr>
              <w:t xml:space="preserve">Fexuto P/L v Bosnjak Holdings P/L [2001] NSWCA 97</w:t>
            </w:r>
            <w:r>
              <w:rPr>
                <w:sz w:val="18"/>
                <w:szCs w:val="18"/>
              </w:rPr>
              <w:t xml:space="preserve"> — diversion of corporate opportunity by director to competing entity</w:t>
            </w:r>
          </w:p>
        </w:tc>
      </w:tr>
      <w:tr>
        <w:trPr>
          <w:cantSplit/>
        </w:trPr>
        <w:tc>
          <w:tcPr>
            <w:tcW w:type="dxa" w:w="1600"/>
            <w:tcBorders>
              <w:top w:val="single" w:color="999999" w:sz="4"/>
              <w:left w:val="single" w:color="999999" w:sz="4"/>
              <w:bottom w:val="single" w:color="999999" w:sz="4"/>
              <w:right w:val="single" w:color="999999" w:sz="4"/>
            </w:tcBorders>
            <w:tcMar>
              <w:top w:type="dxa" w:w="80"/>
              <w:left w:type="dxa" w:w="120"/>
              <w:bottom w:type="dxa" w:w="80"/>
              <w:right w:type="dxa" w:w="120"/>
            </w:tcMar>
          </w:tcPr>
          <w:p>
            <w:pPr>
              <w:spacing w:after="60" w:before="0"/>
              <w:jc w:val="left"/>
            </w:pPr>
            <w:r>
              <w:rPr>
                <w:b w:val="false"/>
                <w:bCs w:val="false"/>
                <w:i w:val="false"/>
                <w:iCs w:val="false"/>
                <w:color w:val="000000"/>
                <w:sz w:val="18"/>
                <w:szCs w:val="18"/>
              </w:rPr>
              <w:t xml:space="preserve">Apr 2026 (ongoing)</w:t>
            </w:r>
          </w:p>
        </w:tc>
        <w:tc>
          <w:tcPr>
            <w:tcW w:type="dxa" w:w="2600"/>
            <w:tcBorders>
              <w:top w:val="single" w:color="999999" w:sz="4"/>
              <w:left w:val="single" w:color="999999" w:sz="4"/>
              <w:bottom w:val="single" w:color="999999" w:sz="4"/>
              <w:right w:val="single" w:color="999999" w:sz="4"/>
            </w:tcBorders>
            <w:tcMar>
              <w:top w:type="dxa" w:w="80"/>
              <w:left w:type="dxa" w:w="120"/>
              <w:bottom w:type="dxa" w:w="80"/>
              <w:right w:type="dxa" w:w="120"/>
            </w:tcMar>
          </w:tcPr>
          <w:p>
            <w:pPr>
              <w:spacing w:after="60" w:before="0"/>
              <w:jc w:val="left"/>
            </w:pPr>
            <w:r>
              <w:rPr>
                <w:b/>
                <w:bCs/>
                <w:i w:val="false"/>
                <w:iCs w:val="false"/>
                <w:color w:val="000000"/>
                <w:sz w:val="18"/>
                <w:szCs w:val="18"/>
              </w:rPr>
              <w:t xml:space="preserve">Use of Mobivate directorship to block the Company’s last remaining material customer (TCI Health) via TallBob</w:t>
            </w:r>
          </w:p>
        </w:tc>
        <w:tc>
          <w:tcPr>
            <w:tcW w:type="dxa" w:w="2800"/>
            <w:tcBorders>
              <w:top w:val="single" w:color="999999" w:sz="4"/>
              <w:left w:val="single" w:color="999999" w:sz="4"/>
              <w:bottom w:val="single" w:color="999999" w:sz="4"/>
              <w:right w:val="single" w:color="999999" w:sz="4"/>
            </w:tcBorders>
            <w:tcMar>
              <w:top w:type="dxa" w:w="80"/>
              <w:left w:type="dxa" w:w="120"/>
              <w:bottom w:type="dxa" w:w="80"/>
              <w:right w:type="dxa" w:w="120"/>
            </w:tcMar>
          </w:tcPr>
          <w:p>
            <w:pPr>
              <w:spacing w:after="60" w:before="0"/>
              <w:jc w:val="left"/>
            </w:pPr>
            <w:r>
              <w:rPr>
                <w:b w:val="false"/>
                <w:bCs w:val="false"/>
                <w:i w:val="false"/>
                <w:iCs w:val="false"/>
                <w:color w:val="000000"/>
                <w:sz w:val="18"/>
                <w:szCs w:val="18"/>
              </w:rPr>
              <w:t xml:space="preserve">Ongoing conduct of company’s affairs (s 232(a))</w:t>
            </w:r>
          </w:p>
          <w:p>
            <w:pPr>
              <w:spacing w:after="60" w:before="0"/>
              <w:jc w:val="left"/>
            </w:pPr>
            <w:r>
              <w:rPr>
                <w:b w:val="false"/>
                <w:bCs w:val="false"/>
                <w:i w:val="false"/>
                <w:iCs w:val="false"/>
                <w:color w:val="000000"/>
                <w:sz w:val="18"/>
                <w:szCs w:val="18"/>
              </w:rPr>
              <w:t xml:space="preserve">Ongoing diversion of corporate opportunity</w:t>
            </w:r>
          </w:p>
        </w:tc>
        <w:tc>
          <w:tcPr>
            <w:tcW w:type="dxa" w:w="4600"/>
            <w:tcBorders>
              <w:top w:val="single" w:color="999999" w:sz="4"/>
              <w:left w:val="single" w:color="999999" w:sz="4"/>
              <w:bottom w:val="single" w:color="999999" w:sz="4"/>
              <w:right w:val="single" w:color="999999" w:sz="4"/>
            </w:tcBorders>
            <w:tcMar>
              <w:top w:type="dxa" w:w="80"/>
              <w:left w:type="dxa" w:w="120"/>
              <w:bottom w:type="dxa" w:w="80"/>
              <w:right w:type="dxa" w:w="120"/>
            </w:tcMar>
          </w:tcPr>
          <w:p>
            <w:pPr>
              <w:spacing w:after="60" w:before="0"/>
              <w:jc w:val="left"/>
            </w:pPr>
            <w:r>
              <w:rPr>
                <w:b w:val="false"/>
                <w:bCs w:val="false"/>
                <w:i w:val="false"/>
                <w:iCs w:val="false"/>
                <w:color w:val="000000"/>
                <w:sz w:val="18"/>
                <w:szCs w:val="18"/>
              </w:rPr>
              <w:t xml:space="preserve">Brad used his position as director of Mobivate to block the Company’s customer (TCI Health) from sending messages through TallBob, directly causing the Company to lose service and revenue. TCI Health is the Company’s last remaining material client (~AU$5,000/month). The conduct is continuing as at the date of this affidavit.</w:t>
            </w:r>
          </w:p>
        </w:tc>
        <w:tc>
          <w:tcPr>
            <w:tcW w:type="dxa" w:w="2800"/>
            <w:tcBorders>
              <w:top w:val="single" w:color="999999" w:sz="4"/>
              <w:left w:val="single" w:color="999999" w:sz="4"/>
              <w:bottom w:val="single" w:color="999999" w:sz="4"/>
              <w:right w:val="single" w:color="999999" w:sz="4"/>
            </w:tcBorders>
            <w:tcMar>
              <w:top w:type="dxa" w:w="80"/>
              <w:left w:type="dxa" w:w="120"/>
              <w:bottom w:type="dxa" w:w="80"/>
              <w:right w:type="dxa" w:w="120"/>
            </w:tcMar>
          </w:tcPr>
          <w:p>
            <w:pPr>
              <w:spacing w:after="60" w:before="0"/>
              <w:jc w:val="left"/>
            </w:pPr>
            <w:r>
              <w:rPr>
                <w:i/>
                <w:iCs/>
                <w:sz w:val="18"/>
                <w:szCs w:val="18"/>
              </w:rPr>
              <w:t xml:space="preserve">Fexuto P/L v Bosnjak Holdings P/L [2001] NSWCA 97</w:t>
            </w:r>
            <w:r>
              <w:rPr>
                <w:sz w:val="18"/>
                <w:szCs w:val="18"/>
              </w:rPr>
              <w:t xml:space="preserve"> — diversion of corporate opportunity by director to competing entity</w:t>
            </w:r>
          </w:p>
          <w:p>
            <w:pPr>
              <w:spacing w:after="60" w:before="0"/>
              <w:jc w:val="left"/>
            </w:pPr>
            <w:r>
              <w:rPr>
                <w:i/>
                <w:iCs/>
                <w:sz w:val="18"/>
                <w:szCs w:val="18"/>
              </w:rPr>
              <w:t xml:space="preserve">Scottish Co-operative Wholesale Society Ltd v Meyer [1959] AC 324</w:t>
            </w:r>
            <w:r>
              <w:rPr>
                <w:sz w:val="18"/>
                <w:szCs w:val="18"/>
              </w:rPr>
              <w:t xml:space="preserve"> — burdensome, harsh and wrongful; parent diverting business from subsidiary</w:t>
            </w:r>
          </w:p>
          <w:p>
            <w:pPr>
              <w:spacing w:after="60" w:before="0"/>
              <w:jc w:val="left"/>
            </w:pPr>
            <w:r>
              <w:rPr>
                <w:i/>
                <w:iCs/>
                <w:sz w:val="18"/>
                <w:szCs w:val="18"/>
              </w:rPr>
              <w:t xml:space="preserve">Jolan P/L v Essential Investments P/L (No 2) [2021] FCA 1533</w:t>
            </w:r>
            <w:r>
              <w:rPr>
                <w:sz w:val="18"/>
                <w:szCs w:val="18"/>
              </w:rPr>
              <w:t xml:space="preserve"> — cumulative pattern of conduct; ‘unfairness adds up’ (Downes J)</w:t>
            </w:r>
          </w:p>
        </w:tc>
      </w:tr>
      <w:tr>
        <w:trPr>
          <w:cantSplit/>
        </w:trPr>
        <w:tc>
          <w:tcPr>
            <w:tcW w:type="dxa" w:w="1600"/>
            <w:tcBorders>
              <w:top w:val="single" w:color="999999" w:sz="4"/>
              <w:left w:val="single" w:color="999999" w:sz="4"/>
              <w:bottom w:val="single" w:color="999999" w:sz="4"/>
              <w:right w:val="single" w:color="999999" w:sz="4"/>
            </w:tcBorders>
            <w:tcMar>
              <w:top w:type="dxa" w:w="80"/>
              <w:left w:type="dxa" w:w="120"/>
              <w:bottom w:type="dxa" w:w="80"/>
              <w:right w:type="dxa" w:w="120"/>
            </w:tcMar>
          </w:tcPr>
          <w:p>
            <w:pPr>
              <w:spacing w:after="60" w:before="0"/>
              <w:jc w:val="left"/>
            </w:pPr>
            <w:r>
              <w:rPr>
                <w:b w:val="false"/>
                <w:bCs w:val="false"/>
                <w:i w:val="false"/>
                <w:iCs w:val="false"/>
                <w:color w:val="000000"/>
                <w:sz w:val="18"/>
                <w:szCs w:val="18"/>
              </w:rPr>
              <w:t xml:space="preserve">23 Apr 2026 (ongoing)</w:t>
            </w:r>
          </w:p>
        </w:tc>
        <w:tc>
          <w:tcPr>
            <w:tcW w:type="dxa" w:w="2600"/>
            <w:tcBorders>
              <w:top w:val="single" w:color="999999" w:sz="4"/>
              <w:left w:val="single" w:color="999999" w:sz="4"/>
              <w:bottom w:val="single" w:color="999999" w:sz="4"/>
              <w:right w:val="single" w:color="999999" w:sz="4"/>
            </w:tcBorders>
            <w:tcMar>
              <w:top w:type="dxa" w:w="80"/>
              <w:left w:type="dxa" w:w="120"/>
              <w:bottom w:type="dxa" w:w="80"/>
              <w:right w:type="dxa" w:w="120"/>
            </w:tcMar>
          </w:tcPr>
          <w:p>
            <w:pPr>
              <w:spacing w:after="60" w:before="0"/>
              <w:jc w:val="left"/>
            </w:pPr>
            <w:r>
              <w:rPr>
                <w:b/>
                <w:bCs/>
                <w:i w:val="false"/>
                <w:iCs w:val="false"/>
                <w:color w:val="000000"/>
                <w:sz w:val="18"/>
                <w:szCs w:val="18"/>
              </w:rPr>
              <w:t xml:space="preserve">Freeze of Company bank accounts without notice to co-director, paralysing all Company operations</w:t>
            </w:r>
          </w:p>
        </w:tc>
        <w:tc>
          <w:tcPr>
            <w:tcW w:type="dxa" w:w="2800"/>
            <w:tcBorders>
              <w:top w:val="single" w:color="999999" w:sz="4"/>
              <w:left w:val="single" w:color="999999" w:sz="4"/>
              <w:bottom w:val="single" w:color="999999" w:sz="4"/>
              <w:right w:val="single" w:color="999999" w:sz="4"/>
            </w:tcBorders>
            <w:tcMar>
              <w:top w:type="dxa" w:w="80"/>
              <w:left w:type="dxa" w:w="120"/>
              <w:bottom w:type="dxa" w:w="80"/>
              <w:right w:type="dxa" w:w="120"/>
            </w:tcMar>
          </w:tcPr>
          <w:p>
            <w:pPr>
              <w:spacing w:after="60" w:before="0"/>
              <w:jc w:val="left"/>
            </w:pPr>
            <w:r>
              <w:rPr>
                <w:b w:val="false"/>
                <w:bCs w:val="false"/>
                <w:i w:val="false"/>
                <w:iCs w:val="false"/>
                <w:color w:val="000000"/>
                <w:sz w:val="18"/>
                <w:szCs w:val="18"/>
              </w:rPr>
              <w:t xml:space="preserve">Act by or on behalf of the company (s 232(b))</w:t>
            </w:r>
          </w:p>
          <w:p>
            <w:pPr>
              <w:spacing w:after="60" w:before="0"/>
              <w:jc w:val="left"/>
            </w:pPr>
            <w:r>
              <w:rPr>
                <w:b w:val="false"/>
                <w:bCs w:val="false"/>
                <w:i w:val="false"/>
                <w:iCs w:val="false"/>
                <w:color w:val="000000"/>
                <w:sz w:val="18"/>
                <w:szCs w:val="18"/>
              </w:rPr>
              <w:t xml:space="preserve">Contrary to interests of members as a whole (s 232(d))</w:t>
            </w:r>
          </w:p>
          <w:p>
            <w:pPr>
              <w:spacing w:after="60" w:before="0"/>
              <w:jc w:val="left"/>
            </w:pPr>
            <w:r>
              <w:rPr>
                <w:b w:val="false"/>
                <w:bCs w:val="false"/>
                <w:i w:val="false"/>
                <w:iCs w:val="false"/>
                <w:color w:val="000000"/>
                <w:sz w:val="18"/>
                <w:szCs w:val="18"/>
              </w:rPr>
              <w:t xml:space="preserve">Oppressive / unfairly prejudicial (s 232(e))</w:t>
            </w:r>
          </w:p>
          <w:p>
            <w:pPr>
              <w:spacing w:after="60" w:before="0"/>
              <w:jc w:val="left"/>
            </w:pPr>
            <w:r>
              <w:rPr>
                <w:b w:val="false"/>
                <w:bCs w:val="false"/>
                <w:i w:val="false"/>
                <w:iCs w:val="false"/>
                <w:color w:val="000000"/>
                <w:sz w:val="18"/>
                <w:szCs w:val="18"/>
              </w:rPr>
              <w:t xml:space="preserve">Paralysis of corporate functions — Munstermann category</w:t>
            </w:r>
          </w:p>
        </w:tc>
        <w:tc>
          <w:tcPr>
            <w:tcW w:type="dxa" w:w="4600"/>
            <w:tcBorders>
              <w:top w:val="single" w:color="999999" w:sz="4"/>
              <w:left w:val="single" w:color="999999" w:sz="4"/>
              <w:bottom w:val="single" w:color="999999" w:sz="4"/>
              <w:right w:val="single" w:color="999999" w:sz="4"/>
            </w:tcBorders>
            <w:tcMar>
              <w:top w:type="dxa" w:w="80"/>
              <w:left w:type="dxa" w:w="120"/>
              <w:bottom w:type="dxa" w:w="80"/>
              <w:right w:type="dxa" w:w="120"/>
            </w:tcMar>
          </w:tcPr>
          <w:p>
            <w:pPr>
              <w:spacing w:after="60" w:before="0"/>
              <w:jc w:val="left"/>
            </w:pPr>
            <w:r>
              <w:rPr>
                <w:b w:val="false"/>
                <w:bCs w:val="false"/>
                <w:i w:val="false"/>
                <w:iCs w:val="false"/>
                <w:color w:val="000000"/>
                <w:sz w:val="18"/>
                <w:szCs w:val="18"/>
              </w:rPr>
              <w:t xml:space="preserve">On 23 April 2026, Asaf discovered via a supplier (TallBob) that payments from the Company’s debit card were being declined. Upon contacting the bank (Westpac, Glenferrie Road branch), the bank confirmed that a block/freeze had been placed on all outgoing funds from both of the Company’s bank accounts. The bank advised that “Mr Gishen’s lawyers” had provided a letter to Westpac resulting in the freeze. Asaf was not notified of this action by Brad, by Brad’s lawyers, or by the bank.</w:t>
            </w:r>
          </w:p>
          <w:p>
            <w:pPr>
              <w:spacing w:after="60" w:before="0"/>
              <w:jc w:val="left"/>
            </w:pPr>
            <w:r>
              <w:rPr>
                <w:b w:val="false"/>
                <w:bCs w:val="false"/>
                <w:i w:val="false"/>
                <w:iCs w:val="false"/>
                <w:color w:val="000000"/>
                <w:sz w:val="18"/>
                <w:szCs w:val="18"/>
              </w:rPr>
              <w:t xml:space="preserve">The immediate and ongoing consequences of the freeze are: (a) the Company is unable to pay its suppliers; (b) within days, outgoing messages will be blocked, affecting the Company’s remaining customers including TCI Health (a healthcare provider reliant on the Company’s platform for two-factor authentication); (c) at the beginning of May 2026, payments to AWS (the Company’s hosting provider) will fail, resulting in the deletion or suspension of the Company’s server infrastructure; and (d) Asaf’s director salary will not be paid.</w:t>
            </w:r>
          </w:p>
          <w:p>
            <w:pPr>
              <w:spacing w:after="60" w:before="0"/>
              <w:jc w:val="left"/>
            </w:pPr>
            <w:r>
              <w:rPr>
                <w:b w:val="false"/>
                <w:bCs w:val="false"/>
                <w:i w:val="false"/>
                <w:iCs w:val="false"/>
                <w:color w:val="000000"/>
                <w:sz w:val="18"/>
                <w:szCs w:val="18"/>
              </w:rPr>
              <w:t xml:space="preserve">This act is the culmination of the oppressive pattern: having diverted 99% of the Company’s revenue to Mobivate, Brad has now moved to extinguish the Company’s remaining ability to operate. A co-director who, without notice to the other director, causes the company’s bank accounts to be frozen — paralysing supplier payments, hosting, and salary — is engaging in conduct that no reasonable director would countenance and that will, if not reversed, result in the destruction of the Company as a going concern. The failure to notify Asaf, as co-director, is itself a denial of the most basic incidents of directorship.</w:t>
            </w:r>
          </w:p>
        </w:tc>
        <w:tc>
          <w:tcPr>
            <w:tcW w:type="dxa" w:w="2800"/>
            <w:tcBorders>
              <w:top w:val="single" w:color="999999" w:sz="4"/>
              <w:left w:val="single" w:color="999999" w:sz="4"/>
              <w:bottom w:val="single" w:color="999999" w:sz="4"/>
              <w:right w:val="single" w:color="999999" w:sz="4"/>
            </w:tcBorders>
            <w:tcMar>
              <w:top w:type="dxa" w:w="80"/>
              <w:left w:type="dxa" w:w="120"/>
              <w:bottom w:type="dxa" w:w="80"/>
              <w:right w:type="dxa" w:w="120"/>
            </w:tcMar>
          </w:tcPr>
          <w:p>
            <w:pPr>
              <w:spacing w:after="60" w:before="0"/>
              <w:jc w:val="left"/>
            </w:pPr>
            <w:r>
              <w:rPr>
                <w:i/>
                <w:iCs/>
                <w:sz w:val="18"/>
                <w:szCs w:val="18"/>
              </w:rPr>
              <w:t xml:space="preserve">Munstermann v Rayward [2017] NSWSC 133</w:t>
            </w:r>
            <w:r>
              <w:rPr>
                <w:sz w:val="18"/>
                <w:szCs w:val="18"/>
              </w:rPr>
              <w:t xml:space="preserve"> — paralysis of corporate functions; salary manipulation = oppression</w:t>
            </w:r>
          </w:p>
          <w:p>
            <w:pPr>
              <w:spacing w:after="60" w:before="0"/>
              <w:jc w:val="left"/>
            </w:pPr>
            <w:r>
              <w:rPr>
                <w:i/>
                <w:iCs/>
                <w:sz w:val="18"/>
                <w:szCs w:val="18"/>
              </w:rPr>
              <w:t xml:space="preserve">Zong v Lin [2022] NSWCA 136</w:t>
            </w:r>
            <w:r>
              <w:rPr>
                <w:sz w:val="18"/>
                <w:szCs w:val="18"/>
              </w:rPr>
              <w:t xml:space="preserve"> — director misuse of company bank accounts without co-shareholder’s knowledge = oppression</w:t>
            </w:r>
          </w:p>
          <w:p>
            <w:pPr>
              <w:spacing w:after="60" w:before="0"/>
              <w:jc w:val="left"/>
            </w:pPr>
            <w:r>
              <w:rPr>
                <w:i/>
                <w:iCs/>
                <w:sz w:val="18"/>
                <w:szCs w:val="18"/>
              </w:rPr>
              <w:t xml:space="preserve">Catalano v Managing Australia Destinations P/L [2014] FCAFC 55</w:t>
            </w:r>
            <w:r>
              <w:rPr>
                <w:sz w:val="18"/>
                <w:szCs w:val="18"/>
              </w:rPr>
              <w:t xml:space="preserve"> — wrongful exclusion from management is oppression</w:t>
            </w:r>
          </w:p>
          <w:p>
            <w:pPr>
              <w:spacing w:after="60" w:before="0"/>
              <w:jc w:val="left"/>
            </w:pPr>
            <w:r>
              <w:rPr>
                <w:i/>
                <w:iCs/>
                <w:sz w:val="18"/>
                <w:szCs w:val="18"/>
              </w:rPr>
              <w:t xml:space="preserve">Scottish Co-operative Wholesale Society Ltd v Meyer [1959] AC 324</w:t>
            </w:r>
            <w:r>
              <w:rPr>
                <w:sz w:val="18"/>
                <w:szCs w:val="18"/>
              </w:rPr>
              <w:t xml:space="preserve"> — burdensome, harsh and wrongful</w:t>
            </w:r>
          </w:p>
        </w:tc>
      </w:tr>
      <w:tr>
        <w:trPr>
          <w:cantSplit/>
        </w:trPr>
        <w:tc>
          <w:tcPr>
            <w:tcW w:type="dxa" w:w="1600"/>
            <w:tcBorders>
              <w:top w:val="single" w:color="999999" w:sz="4"/>
              <w:left w:val="single" w:color="999999" w:sz="4"/>
              <w:bottom w:val="single" w:color="999999" w:sz="4"/>
              <w:right w:val="single" w:color="999999" w:sz="4"/>
            </w:tcBorders>
            <w:shd w:fill="F2F2F2" w:color="auto" w:val="clear"/>
            <w:tcMar>
              <w:top w:type="dxa" w:w="80"/>
              <w:left w:type="dxa" w:w="120"/>
              <w:bottom w:type="dxa" w:w="80"/>
              <w:right w:type="dxa" w:w="120"/>
            </w:tcMar>
          </w:tcPr>
          <w:p>
            <w:pPr>
              <w:spacing w:after="60" w:before="0"/>
              <w:jc w:val="left"/>
            </w:pPr>
            <w:r>
              <w:rPr>
                <w:b w:val="false"/>
                <w:bCs w:val="false"/>
                <w:i w:val="false"/>
                <w:iCs w:val="false"/>
                <w:color w:val="000000"/>
                <w:sz w:val="18"/>
                <w:szCs w:val="18"/>
              </w:rPr>
              <w:t xml:space="preserve">2012 – to date</w:t>
            </w:r>
          </w:p>
        </w:tc>
        <w:tc>
          <w:tcPr>
            <w:tcW w:type="dxa" w:w="2600"/>
            <w:tcBorders>
              <w:top w:val="single" w:color="999999" w:sz="4"/>
              <w:left w:val="single" w:color="999999" w:sz="4"/>
              <w:bottom w:val="single" w:color="999999" w:sz="4"/>
              <w:right w:val="single" w:color="999999" w:sz="4"/>
            </w:tcBorders>
            <w:shd w:fill="F2F2F2" w:color="auto" w:val="clear"/>
            <w:tcMar>
              <w:top w:type="dxa" w:w="80"/>
              <w:left w:type="dxa" w:w="120"/>
              <w:bottom w:type="dxa" w:w="80"/>
              <w:right w:type="dxa" w:w="120"/>
            </w:tcMar>
          </w:tcPr>
          <w:p>
            <w:pPr>
              <w:spacing w:after="60" w:before="0"/>
              <w:jc w:val="left"/>
            </w:pPr>
            <w:r>
              <w:rPr>
                <w:b/>
                <w:bCs/>
                <w:i w:val="false"/>
                <w:iCs w:val="false"/>
                <w:color w:val="000000"/>
                <w:sz w:val="18"/>
                <w:szCs w:val="18"/>
              </w:rPr>
              <w:t xml:space="preserve">Cumulative pattern — customer-identity masking, suppression of corporate identity and asymmetric non-compete</w:t>
            </w:r>
          </w:p>
        </w:tc>
        <w:tc>
          <w:tcPr>
            <w:tcW w:type="dxa" w:w="2800"/>
            <w:tcBorders>
              <w:top w:val="single" w:color="999999" w:sz="4"/>
              <w:left w:val="single" w:color="999999" w:sz="4"/>
              <w:bottom w:val="single" w:color="999999" w:sz="4"/>
              <w:right w:val="single" w:color="999999" w:sz="4"/>
            </w:tcBorders>
            <w:shd w:fill="F2F2F2" w:color="auto" w:val="clear"/>
            <w:tcMar>
              <w:top w:type="dxa" w:w="80"/>
              <w:left w:type="dxa" w:w="120"/>
              <w:bottom w:type="dxa" w:w="80"/>
              <w:right w:type="dxa" w:w="120"/>
            </w:tcMar>
          </w:tcPr>
          <w:p>
            <w:pPr>
              <w:spacing w:after="60" w:before="0"/>
              <w:jc w:val="left"/>
            </w:pPr>
            <w:r>
              <w:rPr>
                <w:b w:val="false"/>
                <w:bCs w:val="false"/>
                <w:i w:val="false"/>
                <w:iCs w:val="false"/>
                <w:color w:val="000000"/>
                <w:sz w:val="18"/>
                <w:szCs w:val="18"/>
              </w:rPr>
              <w:t xml:space="preserve">Cumulative oppressive conduct (s 232(a), (d), (e))</w:t>
            </w:r>
          </w:p>
          <w:p>
            <w:pPr>
              <w:spacing w:after="60" w:before="0"/>
              <w:jc w:val="left"/>
            </w:pPr>
            <w:r>
              <w:rPr>
                <w:b w:val="false"/>
                <w:bCs w:val="false"/>
                <w:i w:val="false"/>
                <w:iCs w:val="false"/>
                <w:color w:val="000000"/>
                <w:sz w:val="18"/>
                <w:szCs w:val="18"/>
              </w:rPr>
              <w:t xml:space="preserve">“Unfairness adds up” — Jolan v Essential Investments</w:t>
            </w:r>
          </w:p>
        </w:tc>
        <w:tc>
          <w:tcPr>
            <w:tcW w:type="dxa" w:w="4600"/>
            <w:tcBorders>
              <w:top w:val="single" w:color="999999" w:sz="4"/>
              <w:left w:val="single" w:color="999999" w:sz="4"/>
              <w:bottom w:val="single" w:color="999999" w:sz="4"/>
              <w:right w:val="single" w:color="999999" w:sz="4"/>
            </w:tcBorders>
            <w:shd w:fill="F2F2F2" w:color="auto" w:val="clear"/>
            <w:tcMar>
              <w:top w:type="dxa" w:w="80"/>
              <w:left w:type="dxa" w:w="120"/>
              <w:bottom w:type="dxa" w:w="80"/>
              <w:right w:type="dxa" w:w="120"/>
            </w:tcMar>
          </w:tcPr>
          <w:p>
            <w:pPr>
              <w:spacing w:after="60" w:before="0"/>
              <w:jc w:val="left"/>
            </w:pPr>
            <w:r>
              <w:rPr>
                <w:b w:val="false"/>
                <w:bCs w:val="false"/>
                <w:i w:val="false"/>
                <w:iCs w:val="false"/>
                <w:color w:val="000000"/>
                <w:sz w:val="18"/>
                <w:szCs w:val="18"/>
              </w:rPr>
              <w:t xml:space="preserve">Over 13 years, Brad suppressed the Company’s corporate identity from customers while representing Asaf as a Mobivate executive (“Head of Development”, “Head of Technology”, “Head of IT”, “Mobivate’s Melbourne office”), and required the Company’s work and infrastructure to be presented under Mobivate’s brand — while at the same time refusing a non-compete in Mobivate’s favour on the express ground that it could “damage [Mobivate’s] entire biz.”</w:t>
            </w:r>
          </w:p>
          <w:p>
            <w:pPr>
              <w:spacing w:after="60" w:before="0"/>
              <w:jc w:val="left"/>
            </w:pPr>
            <w:r>
              <w:rPr>
                <w:b w:val="false"/>
                <w:bCs w:val="false"/>
                <w:i w:val="false"/>
                <w:iCs w:val="false"/>
                <w:color w:val="000000"/>
                <w:sz w:val="18"/>
                <w:szCs w:val="18"/>
              </w:rPr>
              <w:t xml:space="preserve">This asymmetric arrangement — the Company’s identity concealed, Mobivate’s competitive ability preserved — formed the structural precondition for the later diversion. Taken as a cumulative course of conduct, it is a paradigm of commercial unfairness against a minority shareholder.</w:t>
            </w:r>
          </w:p>
        </w:tc>
        <w:tc>
          <w:tcPr>
            <w:tcW w:type="dxa" w:w="2800"/>
            <w:tcBorders>
              <w:top w:val="single" w:color="999999" w:sz="4"/>
              <w:left w:val="single" w:color="999999" w:sz="4"/>
              <w:bottom w:val="single" w:color="999999" w:sz="4"/>
              <w:right w:val="single" w:color="999999" w:sz="4"/>
            </w:tcBorders>
            <w:shd w:fill="F2F2F2" w:color="auto" w:val="clear"/>
            <w:tcMar>
              <w:top w:type="dxa" w:w="80"/>
              <w:left w:type="dxa" w:w="120"/>
              <w:bottom w:type="dxa" w:w="80"/>
              <w:right w:type="dxa" w:w="120"/>
            </w:tcMar>
          </w:tcPr>
          <w:p>
            <w:pPr>
              <w:spacing w:after="60" w:before="0"/>
              <w:jc w:val="left"/>
            </w:pPr>
            <w:r>
              <w:rPr>
                <w:i/>
                <w:iCs/>
                <w:sz w:val="18"/>
                <w:szCs w:val="18"/>
              </w:rPr>
              <w:t xml:space="preserve">Jolan P/L v Essential Investments P/L (No 2) [2021] FCA 1533</w:t>
            </w:r>
            <w:r>
              <w:rPr>
                <w:sz w:val="18"/>
                <w:szCs w:val="18"/>
              </w:rPr>
              <w:t xml:space="preserve"> — cumulative pattern of conduct; 'unfairness adds up' (Downes J)</w:t>
            </w:r>
          </w:p>
          <w:p>
            <w:pPr>
              <w:spacing w:after="60" w:before="0"/>
              <w:jc w:val="left"/>
            </w:pPr>
            <w:r>
              <w:rPr>
                <w:i/>
                <w:iCs/>
                <w:sz w:val="18"/>
                <w:szCs w:val="18"/>
              </w:rPr>
              <w:t xml:space="preserve">Morgan v 45 Flers Ave P/L (1986) 10 ACLR 692</w:t>
            </w:r>
            <w:r>
              <w:rPr>
                <w:sz w:val="18"/>
                <w:szCs w:val="18"/>
              </w:rPr>
              <w:t xml:space="preserve"> — unfairness central; cumulative assessment</w:t>
            </w:r>
          </w:p>
          <w:p>
            <w:pPr>
              <w:spacing w:after="60" w:before="0"/>
              <w:jc w:val="left"/>
            </w:pPr>
            <w:r>
              <w:rPr>
                <w:i/>
                <w:iCs/>
                <w:sz w:val="18"/>
                <w:szCs w:val="18"/>
              </w:rPr>
              <w:t xml:space="preserve">Scottish Co-operative Wholesale Society Ltd v Meyer [1959] AC 324</w:t>
            </w:r>
            <w:r>
              <w:rPr>
                <w:sz w:val="18"/>
                <w:szCs w:val="18"/>
              </w:rPr>
              <w:t xml:space="preserve"> — burdensome, harsh and wrongful; parent diverting business from subsidiary</w:t>
            </w:r>
          </w:p>
        </w:tc>
      </w:tr>
      <w:tr>
        <w:trPr>
          <w:cantSplit/>
        </w:trPr>
        <w:tc>
          <w:tcPr>
            <w:tcW w:type="dxa" w:w="1600"/>
            <w:tcBorders>
              <w:top w:val="single" w:color="999999" w:sz="4"/>
              <w:left w:val="single" w:color="999999" w:sz="4"/>
              <w:bottom w:val="single" w:color="999999" w:sz="4"/>
              <w:right w:val="single" w:color="999999" w:sz="4"/>
            </w:tcBorders>
            <w:tcMar>
              <w:top w:type="dxa" w:w="80"/>
              <w:left w:type="dxa" w:w="120"/>
              <w:bottom w:type="dxa" w:w="80"/>
              <w:right w:type="dxa" w:w="120"/>
            </w:tcMar>
          </w:tcPr>
          <w:p>
            <w:pPr>
              <w:spacing w:after="60" w:before="0"/>
              <w:jc w:val="left"/>
            </w:pPr>
            <w:r>
              <w:rPr>
                <w:b w:val="false"/>
                <w:bCs w:val="false"/>
                <w:i w:val="false"/>
                <w:iCs w:val="false"/>
                <w:color w:val="000000"/>
                <w:sz w:val="18"/>
                <w:szCs w:val="18"/>
              </w:rPr>
              <w:t xml:space="preserve">Mid-2025 (ongoing)</w:t>
            </w:r>
          </w:p>
        </w:tc>
        <w:tc>
          <w:tcPr>
            <w:tcW w:type="dxa" w:w="2600"/>
            <w:tcBorders>
              <w:top w:val="single" w:color="999999" w:sz="4"/>
              <w:left w:val="single" w:color="999999" w:sz="4"/>
              <w:bottom w:val="single" w:color="999999" w:sz="4"/>
              <w:right w:val="single" w:color="999999" w:sz="4"/>
            </w:tcBorders>
            <w:tcMar>
              <w:top w:type="dxa" w:w="80"/>
              <w:left w:type="dxa" w:w="120"/>
              <w:bottom w:type="dxa" w:w="80"/>
              <w:right w:type="dxa" w:w="120"/>
            </w:tcMar>
          </w:tcPr>
          <w:p>
            <w:pPr>
              <w:spacing w:after="60" w:before="0"/>
              <w:jc w:val="left"/>
            </w:pPr>
            <w:r>
              <w:rPr>
                <w:b/>
                <w:bCs/>
                <w:i w:val="false"/>
                <w:iCs w:val="false"/>
                <w:color w:val="000000"/>
                <w:sz w:val="18"/>
                <w:szCs w:val="18"/>
              </w:rPr>
              <w:t xml:space="preserve">Diversion of substantially all Company revenue to Mobivate via Vortex platform</w:t>
            </w:r>
          </w:p>
        </w:tc>
        <w:tc>
          <w:tcPr>
            <w:tcW w:type="dxa" w:w="2800"/>
            <w:tcBorders>
              <w:top w:val="single" w:color="999999" w:sz="4"/>
              <w:left w:val="single" w:color="999999" w:sz="4"/>
              <w:bottom w:val="single" w:color="999999" w:sz="4"/>
              <w:right w:val="single" w:color="999999" w:sz="4"/>
            </w:tcBorders>
            <w:tcMar>
              <w:top w:type="dxa" w:w="80"/>
              <w:left w:type="dxa" w:w="120"/>
              <w:bottom w:type="dxa" w:w="80"/>
              <w:right w:type="dxa" w:w="120"/>
            </w:tcMar>
          </w:tcPr>
          <w:p>
            <w:pPr>
              <w:spacing w:after="60" w:before="0"/>
              <w:jc w:val="left"/>
            </w:pPr>
            <w:r>
              <w:rPr>
                <w:b w:val="false"/>
                <w:bCs w:val="false"/>
                <w:i w:val="false"/>
                <w:iCs w:val="false"/>
                <w:color w:val="000000"/>
                <w:sz w:val="18"/>
                <w:szCs w:val="18"/>
              </w:rPr>
              <w:t xml:space="preserve">Aggregate effect of conduct of company’s affairs (s 232(a), (d), (e))</w:t>
            </w:r>
          </w:p>
          <w:p>
            <w:pPr>
              <w:spacing w:after="60" w:before="0"/>
              <w:jc w:val="left"/>
            </w:pPr>
            <w:r>
              <w:rPr>
                <w:b w:val="false"/>
                <w:bCs w:val="false"/>
                <w:i w:val="false"/>
                <w:iCs w:val="false"/>
                <w:color w:val="000000"/>
                <w:sz w:val="18"/>
                <w:szCs w:val="18"/>
              </w:rPr>
              <w:t xml:space="preserve">Destruction of share value</w:t>
            </w:r>
          </w:p>
        </w:tc>
        <w:tc>
          <w:tcPr>
            <w:tcW w:type="dxa" w:w="4600"/>
            <w:tcBorders>
              <w:top w:val="single" w:color="999999" w:sz="4"/>
              <w:left w:val="single" w:color="999999" w:sz="4"/>
              <w:bottom w:val="single" w:color="999999" w:sz="4"/>
              <w:right w:val="single" w:color="999999" w:sz="4"/>
            </w:tcBorders>
            <w:tcMar>
              <w:top w:type="dxa" w:w="80"/>
              <w:left w:type="dxa" w:w="120"/>
              <w:bottom w:type="dxa" w:w="80"/>
              <w:right w:type="dxa" w:w="120"/>
            </w:tcMar>
          </w:tcPr>
          <w:p>
            <w:pPr>
              <w:spacing w:after="60" w:before="0"/>
              <w:jc w:val="left"/>
            </w:pPr>
            <w:r>
              <w:rPr>
                <w:b w:val="false"/>
                <w:bCs w:val="false"/>
                <w:i w:val="false"/>
                <w:iCs w:val="false"/>
                <w:color w:val="000000"/>
                <w:sz w:val="18"/>
                <w:szCs w:val="18"/>
              </w:rPr>
              <w:t xml:space="preserve">The cumulative effect of the conduct above is that monthly revenue has fallen from AU$576,319 (Jun 2025) to ~AU$5,000 (Apr 2026) — &gt;99% decline — while the same revenue base continues to flow through Mobivate/Vortex for the benefit of Brad and entities he controls. The Company’s value as a going concern has been destroyed and Asaf’s 18% shareholding rendered worthless at a time when Brad’s 82% interest continues to realise value through the diverted business.</w:t>
            </w:r>
          </w:p>
          <w:p>
            <w:pPr>
              <w:spacing w:after="60" w:before="0"/>
              <w:jc w:val="left"/>
            </w:pPr>
            <w:r>
              <w:rPr>
                <w:b w:val="false"/>
                <w:bCs w:val="false"/>
                <w:i w:val="false"/>
                <w:iCs w:val="false"/>
                <w:color w:val="000000"/>
                <w:sz w:val="18"/>
                <w:szCs w:val="18"/>
              </w:rPr>
              <w:t xml:space="preserve">That aggregate outcome — minority’s stake valueless, majority’s economic interest preserved through a related entity — is the archetype of oppression.</w:t>
            </w:r>
          </w:p>
        </w:tc>
        <w:tc>
          <w:tcPr>
            <w:tcW w:type="dxa" w:w="2800"/>
            <w:tcBorders>
              <w:top w:val="single" w:color="999999" w:sz="4"/>
              <w:left w:val="single" w:color="999999" w:sz="4"/>
              <w:bottom w:val="single" w:color="999999" w:sz="4"/>
              <w:right w:val="single" w:color="999999" w:sz="4"/>
            </w:tcBorders>
            <w:tcMar>
              <w:top w:type="dxa" w:w="80"/>
              <w:left w:type="dxa" w:w="120"/>
              <w:bottom w:type="dxa" w:w="80"/>
              <w:right w:type="dxa" w:w="120"/>
            </w:tcMar>
          </w:tcPr>
          <w:p>
            <w:pPr>
              <w:spacing w:after="60" w:before="0"/>
              <w:jc w:val="left"/>
            </w:pPr>
            <w:r>
              <w:rPr>
                <w:i/>
                <w:iCs/>
                <w:sz w:val="18"/>
                <w:szCs w:val="18"/>
              </w:rPr>
              <w:t xml:space="preserve">Scottish Co-operative Wholesale Society Ltd v Meyer [1959] AC 324</w:t>
            </w:r>
            <w:r>
              <w:rPr>
                <w:sz w:val="18"/>
                <w:szCs w:val="18"/>
              </w:rPr>
              <w:t xml:space="preserve"> — burdensome, harsh and wrongful; parent diverting business from subsidiary</w:t>
            </w:r>
          </w:p>
          <w:p>
            <w:pPr>
              <w:spacing w:after="60" w:before="0"/>
              <w:jc w:val="left"/>
            </w:pPr>
            <w:r>
              <w:rPr>
                <w:i/>
                <w:iCs/>
                <w:sz w:val="18"/>
                <w:szCs w:val="18"/>
              </w:rPr>
              <w:t xml:space="preserve">Ubertini v Saeco International Group SpA (No 4) [2014] VSC 47</w:t>
            </w:r>
            <w:r>
              <w:rPr>
                <w:sz w:val="18"/>
                <w:szCs w:val="18"/>
              </w:rPr>
              <w:t xml:space="preserve"> — commercial unfairness; departure from standards of fair dealing</w:t>
            </w:r>
          </w:p>
          <w:p>
            <w:pPr>
              <w:spacing w:after="60" w:before="0"/>
              <w:jc w:val="left"/>
            </w:pPr>
            <w:r>
              <w:rPr>
                <w:i/>
                <w:iCs/>
                <w:sz w:val="18"/>
                <w:szCs w:val="18"/>
              </w:rPr>
              <w:t xml:space="preserve">Jolan P/L v Essential Investments P/L (No 2) [2021] FCA 1533</w:t>
            </w:r>
            <w:r>
              <w:rPr>
                <w:sz w:val="18"/>
                <w:szCs w:val="18"/>
              </w:rPr>
              <w:t xml:space="preserve"> — cumulative pattern of conduct; 'unfairness adds up' (Downes J)</w:t>
            </w:r>
          </w:p>
        </w:tc>
      </w:tr>
      <w:tr>
        <w:trPr>
          <w:cantSplit/>
        </w:trPr>
        <w:tc>
          <w:tcPr>
            <w:tcW w:type="dxa" w:w="1600"/>
            <w:tcBorders>
              <w:top w:val="single" w:color="999999" w:sz="4"/>
              <w:left w:val="single" w:color="999999" w:sz="4"/>
              <w:bottom w:val="single" w:color="999999" w:sz="4"/>
              <w:right w:val="single" w:color="999999" w:sz="4"/>
            </w:tcBorders>
            <w:shd w:fill="F2F2F2" w:color="auto" w:val="clear"/>
            <w:tcMar>
              <w:top w:type="dxa" w:w="80"/>
              <w:left w:type="dxa" w:w="120"/>
              <w:bottom w:type="dxa" w:w="80"/>
              <w:right w:type="dxa" w:w="120"/>
            </w:tcMar>
          </w:tcPr>
          <w:p>
            <w:pPr>
              <w:spacing w:after="60" w:before="0"/>
              <w:jc w:val="left"/>
            </w:pPr>
            <w:r>
              <w:rPr>
                <w:b w:val="false"/>
                <w:bCs w:val="false"/>
                <w:i w:val="false"/>
                <w:iCs w:val="false"/>
                <w:color w:val="000000"/>
                <w:sz w:val="18"/>
                <w:szCs w:val="18"/>
              </w:rPr>
              <w:t xml:space="preserve">Jun 2025 – to date</w:t>
            </w:r>
          </w:p>
        </w:tc>
        <w:tc>
          <w:tcPr>
            <w:tcW w:type="dxa" w:w="2600"/>
            <w:tcBorders>
              <w:top w:val="single" w:color="999999" w:sz="4"/>
              <w:left w:val="single" w:color="999999" w:sz="4"/>
              <w:bottom w:val="single" w:color="999999" w:sz="4"/>
              <w:right w:val="single" w:color="999999" w:sz="4"/>
            </w:tcBorders>
            <w:shd w:fill="F2F2F2" w:color="auto" w:val="clear"/>
            <w:tcMar>
              <w:top w:type="dxa" w:w="80"/>
              <w:left w:type="dxa" w:w="120"/>
              <w:bottom w:type="dxa" w:w="80"/>
              <w:right w:type="dxa" w:w="120"/>
            </w:tcMar>
          </w:tcPr>
          <w:p>
            <w:pPr>
              <w:spacing w:after="60" w:before="0"/>
              <w:jc w:val="left"/>
            </w:pPr>
            <w:r>
              <w:rPr>
                <w:b/>
                <w:bCs/>
                <w:i w:val="false"/>
                <w:iCs w:val="false"/>
                <w:color w:val="000000"/>
                <w:sz w:val="18"/>
                <w:szCs w:val="18"/>
              </w:rPr>
              <w:t xml:space="preserve">Refusal to mediate, punitive cost threats, and inflated “developer exposure” figure</w:t>
            </w:r>
          </w:p>
        </w:tc>
        <w:tc>
          <w:tcPr>
            <w:tcW w:type="dxa" w:w="2800"/>
            <w:tcBorders>
              <w:top w:val="single" w:color="999999" w:sz="4"/>
              <w:left w:val="single" w:color="999999" w:sz="4"/>
              <w:bottom w:val="single" w:color="999999" w:sz="4"/>
              <w:right w:val="single" w:color="999999" w:sz="4"/>
            </w:tcBorders>
            <w:shd w:fill="F2F2F2" w:color="auto" w:val="clear"/>
            <w:tcMar>
              <w:top w:type="dxa" w:w="80"/>
              <w:left w:type="dxa" w:w="120"/>
              <w:bottom w:type="dxa" w:w="80"/>
              <w:right w:type="dxa" w:w="120"/>
            </w:tcMar>
          </w:tcPr>
          <w:p>
            <w:pPr>
              <w:spacing w:after="60" w:before="0"/>
              <w:jc w:val="left"/>
            </w:pPr>
            <w:r>
              <w:rPr>
                <w:b w:val="false"/>
                <w:bCs w:val="false"/>
                <w:i w:val="false"/>
                <w:iCs w:val="false"/>
                <w:color w:val="000000"/>
                <w:sz w:val="18"/>
                <w:szCs w:val="18"/>
              </w:rPr>
              <w:t xml:space="preserve">Conduct of company’s affairs (s 232(a))</w:t>
            </w:r>
          </w:p>
          <w:p>
            <w:pPr>
              <w:spacing w:after="60" w:before="0"/>
              <w:jc w:val="left"/>
            </w:pPr>
            <w:r>
              <w:rPr>
                <w:b w:val="false"/>
                <w:bCs w:val="false"/>
                <w:i w:val="false"/>
                <w:iCs w:val="false"/>
                <w:color w:val="000000"/>
                <w:sz w:val="18"/>
                <w:szCs w:val="18"/>
              </w:rPr>
              <w:t xml:space="preserve">Contextual oppressive conduct (s 232(e))</w:t>
            </w:r>
          </w:p>
        </w:tc>
        <w:tc>
          <w:tcPr>
            <w:tcW w:type="dxa" w:w="4600"/>
            <w:tcBorders>
              <w:top w:val="single" w:color="999999" w:sz="4"/>
              <w:left w:val="single" w:color="999999" w:sz="4"/>
              <w:bottom w:val="single" w:color="999999" w:sz="4"/>
              <w:right w:val="single" w:color="999999" w:sz="4"/>
            </w:tcBorders>
            <w:shd w:fill="F2F2F2" w:color="auto" w:val="clear"/>
            <w:tcMar>
              <w:top w:type="dxa" w:w="80"/>
              <w:left w:type="dxa" w:w="120"/>
              <w:bottom w:type="dxa" w:w="80"/>
              <w:right w:type="dxa" w:w="120"/>
            </w:tcMar>
          </w:tcPr>
          <w:p>
            <w:pPr>
              <w:spacing w:after="60" w:before="0"/>
              <w:jc w:val="left"/>
            </w:pPr>
            <w:r>
              <w:rPr>
                <w:b w:val="false"/>
                <w:bCs w:val="false"/>
                <w:i w:val="false"/>
                <w:iCs w:val="false"/>
                <w:color w:val="000000"/>
                <w:sz w:val="18"/>
                <w:szCs w:val="18"/>
              </w:rPr>
              <w:t xml:space="preserve">Brad dismissed mediation as “a total waste of time and money”, proposed a Big-4 forensic audit at the Company’s expense, threatened “a punitive cost order” against Asaf, and inflated the alleged “developer exposure” to ~AU$1.2m despite the actual margin being ~AU$40,000 over seven years (a ~30× inflation by a UK chartered accountant).</w:t>
            </w:r>
          </w:p>
          <w:p>
            <w:pPr>
              <w:spacing w:after="60" w:before="0"/>
              <w:jc w:val="left"/>
            </w:pPr>
            <w:r>
              <w:rPr>
                <w:b w:val="false"/>
                <w:bCs w:val="false"/>
                <w:i w:val="false"/>
                <w:iCs w:val="false"/>
                <w:color w:val="000000"/>
                <w:sz w:val="18"/>
                <w:szCs w:val="18"/>
              </w:rPr>
              <w:t xml:space="preserve">Standing alone, each element might not be oppression, but together they form part of the coercive course of conduct designed to force the minority into submission or concession, and are part of the cumulative assessment.</w:t>
            </w:r>
          </w:p>
        </w:tc>
        <w:tc>
          <w:tcPr>
            <w:tcW w:type="dxa" w:w="2800"/>
            <w:tcBorders>
              <w:top w:val="single" w:color="999999" w:sz="4"/>
              <w:left w:val="single" w:color="999999" w:sz="4"/>
              <w:bottom w:val="single" w:color="999999" w:sz="4"/>
              <w:right w:val="single" w:color="999999" w:sz="4"/>
            </w:tcBorders>
            <w:shd w:fill="F2F2F2" w:color="auto" w:val="clear"/>
            <w:tcMar>
              <w:top w:type="dxa" w:w="80"/>
              <w:left w:type="dxa" w:w="120"/>
              <w:bottom w:type="dxa" w:w="80"/>
              <w:right w:type="dxa" w:w="120"/>
            </w:tcMar>
          </w:tcPr>
          <w:p>
            <w:pPr>
              <w:spacing w:after="60" w:before="0"/>
              <w:jc w:val="left"/>
            </w:pPr>
            <w:r>
              <w:rPr>
                <w:i/>
                <w:iCs/>
                <w:sz w:val="18"/>
                <w:szCs w:val="18"/>
              </w:rPr>
              <w:t xml:space="preserve">Jolan P/L v Essential Investments P/L (No 2) [2021] FCA 1533</w:t>
            </w:r>
            <w:r>
              <w:rPr>
                <w:sz w:val="18"/>
                <w:szCs w:val="18"/>
              </w:rPr>
              <w:t xml:space="preserve"> — cumulative pattern of conduct; 'unfairness adds up' (Downes J)</w:t>
            </w:r>
          </w:p>
          <w:p>
            <w:pPr>
              <w:spacing w:after="60" w:before="0"/>
              <w:jc w:val="left"/>
            </w:pPr>
            <w:r>
              <w:rPr>
                <w:i/>
                <w:iCs/>
                <w:sz w:val="18"/>
                <w:szCs w:val="18"/>
              </w:rPr>
              <w:t xml:space="preserve">Morgan v 45 Flers Ave P/L (1986) 10 ACLR 692</w:t>
            </w:r>
            <w:r>
              <w:rPr>
                <w:sz w:val="18"/>
                <w:szCs w:val="18"/>
              </w:rPr>
              <w:t xml:space="preserve"> — unfairness central; cumulative assessment</w:t>
            </w:r>
          </w:p>
        </w:tc>
      </w:tr>
    </w:tbl>
    <w:p>
      <w:pPr>
        <w:pStyle w:val="Heading2"/>
        <w:spacing w:after="100" w:before="300"/>
      </w:pPr>
      <w:r>
        <w:t xml:space="preserve">Notes on items excluded from this schedule</w:t>
      </w:r>
    </w:p>
    <w:p>
      <w:pPr>
        <w:spacing w:after="80"/>
      </w:pPr>
      <w:r>
        <w:rPr>
          <w:sz w:val="22"/>
          <w:szCs w:val="22"/>
        </w:rPr>
        <w:t xml:space="preserve">The following items from the earlier draft Annexure A have been retained in the narrative of the affidavit but are not pleaded as standalone acts of oppression, as they either (i) are evidentiary of later oppressive conduct without themselves prejudicing the Plaintiff as a shareholder, or (ii) amount to commercial negotiation rather than conduct of the Company’s affairs:</w:t>
      </w:r>
    </w:p>
    <w:p>
      <w:pPr>
        <w:pStyle w:val="ListParagraph"/>
        <w:numPr>
          <w:ilvl w:val="0"/>
          <w:numId w:val="2"/>
        </w:numPr>
        <w:spacing w:after="40"/>
      </w:pPr>
      <w:r>
        <w:rPr>
          <w:sz w:val="20"/>
          <w:szCs w:val="20"/>
        </w:rPr>
        <w:t xml:space="preserve">Jun 2011 – Feb 2012 demands for Blender source code — commercial negotiation between co-founders; evidentiary only.</w:t>
      </w:r>
    </w:p>
    <w:p>
      <w:pPr>
        <w:pStyle w:val="ListParagraph"/>
        <w:numPr>
          <w:ilvl w:val="0"/>
          <w:numId w:val="2"/>
        </w:numPr>
        <w:spacing w:after="40"/>
      </w:pPr>
      <w:r>
        <w:rPr>
          <w:sz w:val="20"/>
          <w:szCs w:val="20"/>
        </w:rPr>
        <w:t xml:space="preserve">6 Aug 2012 foundational masking email — operational direction; oppressive character only emerges when combined with the 13-year pattern (captured in the cumulative row).</w:t>
      </w:r>
    </w:p>
    <w:p>
      <w:pPr>
        <w:pStyle w:val="ListParagraph"/>
        <w:numPr>
          <w:ilvl w:val="0"/>
          <w:numId w:val="2"/>
        </w:numPr>
        <w:spacing w:after="40"/>
      </w:pPr>
      <w:r>
        <w:rPr>
          <w:sz w:val="20"/>
          <w:szCs w:val="20"/>
        </w:rPr>
        <w:t xml:space="preserve">29 Aug 2013 and 19 Jan 2018 non-compete refusals — evidentiary of Brad’s awareness of conflict; not themselves acts of oppression.</w:t>
      </w:r>
    </w:p>
    <w:p>
      <w:pPr>
        <w:pStyle w:val="ListParagraph"/>
        <w:numPr>
          <w:ilvl w:val="0"/>
          <w:numId w:val="2"/>
        </w:numPr>
        <w:spacing w:after="40"/>
      </w:pPr>
      <w:r>
        <w:rPr>
          <w:sz w:val="20"/>
          <w:szCs w:val="20"/>
        </w:rPr>
        <w:t xml:space="preserve">Aug 2019 – Jan 2025 “your employee/developer” references — evidentiary of the masking pattern.</w:t>
      </w:r>
    </w:p>
    <w:p>
      <w:pPr>
        <w:pStyle w:val="ListParagraph"/>
        <w:numPr>
          <w:ilvl w:val="0"/>
          <w:numId w:val="2"/>
        </w:numPr>
        <w:spacing w:after="40"/>
      </w:pPr>
      <w:r>
        <w:rPr>
          <w:sz w:val="20"/>
          <w:szCs w:val="20"/>
        </w:rPr>
        <w:t xml:space="preserve">2021–2022 SOC2 audit — evidentiary of substance-over-form (Company’s stack certified under Mobivate’s name); not a discrete oppressive act at the time.</w:t>
      </w:r>
    </w:p>
    <w:p>
      <w:pPr>
        <w:pStyle w:val="ListParagraph"/>
        <w:numPr>
          <w:ilvl w:val="0"/>
          <w:numId w:val="2"/>
        </w:numPr>
        <w:spacing w:after="40"/>
      </w:pPr>
      <w:r>
        <w:rPr>
          <w:sz w:val="20"/>
          <w:szCs w:val="20"/>
        </w:rPr>
        <w:t xml:space="preserve">18 Aug 2014 “Sprint” ultimatum letter — commercial pressure; evidentiary of conflict.</w:t>
      </w:r>
    </w:p>
    <w:p>
      <w:pPr>
        <w:pStyle w:val="ListParagraph"/>
        <w:numPr>
          <w:ilvl w:val="0"/>
          <w:numId w:val="2"/>
        </w:numPr>
        <w:spacing w:after="40"/>
      </w:pPr>
      <w:r>
        <w:rPr>
          <w:sz w:val="20"/>
          <w:szCs w:val="20"/>
        </w:rPr>
        <w:t xml:space="preserve">Apr 2017 UI code handoff — evidentiary precursor to the later Vortex diversion.</w:t>
      </w:r>
    </w:p>
    <w:p>
      <w:pPr>
        <w:pStyle w:val="ListParagraph"/>
        <w:numPr>
          <w:ilvl w:val="0"/>
          <w:numId w:val="2"/>
        </w:numPr>
        <w:spacing w:after="40"/>
      </w:pPr>
      <w:r>
        <w:rPr>
          <w:sz w:val="20"/>
          <w:szCs w:val="20"/>
        </w:rPr>
        <w:t xml:space="preserve">Jun 2025 Soft2Bet credentials instruction — evidentiary of masking.</w:t>
      </w:r>
    </w:p>
    <w:p>
      <w:pPr>
        <w:pStyle w:val="ListParagraph"/>
        <w:numPr>
          <w:ilvl w:val="0"/>
          <w:numId w:val="2"/>
        </w:numPr>
        <w:spacing w:after="40"/>
      </w:pPr>
      <w:r>
        <w:rPr>
          <w:sz w:val="20"/>
          <w:szCs w:val="20"/>
        </w:rPr>
        <w:t xml:space="preserve">Jun 2025 “contempt” letter to Eyal Shamir — directed at a third party, not conduct against the Plaintiff as a member.</w:t>
      </w:r>
    </w:p>
    <w:p>
      <w:pPr>
        <w:pStyle w:val="ListParagraph"/>
        <w:numPr>
          <w:ilvl w:val="0"/>
          <w:numId w:val="2"/>
        </w:numPr>
        <w:spacing w:after="40"/>
      </w:pPr>
      <w:r>
        <w:rPr>
          <w:sz w:val="20"/>
          <w:szCs w:val="20"/>
        </w:rPr>
        <w:t xml:space="preserve">Jul 2025 demand for developer’s personal details — contextual; covered within the wider coercive-course-of-conduct row.</w:t>
      </w:r>
    </w:p>
    <w:sectPr>
      <w:pgSz w:w="15840" w:h="12240" w:orient="landscape"/>
      <w:pgMar w:top="720" w:right="720" w:bottom="720" w:left="72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420" w:hanging="28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160" w:before="0"/>
      <w:outlineLvl w:val="0"/>
    </w:pPr>
    <w:rPr>
      <w:rFonts w:ascii="Calibri" w:cs="Calibri" w:eastAsia="Calibri" w:hAnsi="Calibri"/>
      <w:b/>
      <w:bCs/>
      <w:color w:val="1F3864"/>
      <w:sz w:val="32"/>
      <w:szCs w:val="32"/>
    </w:rPr>
  </w:style>
  <w:style w:type="paragraph" w:styleId="Heading2">
    <w:name w:val="Heading 2"/>
    <w:basedOn w:val="Normal"/>
    <w:next w:val="Normal"/>
    <w:qFormat/>
    <w:pPr>
      <w:spacing w:after="100" w:before="200"/>
      <w:outlineLvl w:val="1"/>
    </w:pPr>
    <w:rPr>
      <w:rFonts w:ascii="Calibri" w:cs="Calibri" w:eastAsia="Calibri" w:hAnsi="Calibri"/>
      <w:b/>
      <w:bCs/>
      <w:color w:val="1F3864"/>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Schedule of Oppressive Acts under s 232</dc:title>
  <dc:creator>Asaf Shamir</dc:creator>
  <cp:lastModifiedBy>Un-named</cp:lastModifiedBy>
  <cp:revision>1</cp:revision>
  <dcterms:created xsi:type="dcterms:W3CDTF">2026-04-23T00:31:24.981Z</dcterms:created>
  <dcterms:modified xsi:type="dcterms:W3CDTF">2026-04-23T00:31:24.982Z</dcterms:modified>
</cp:coreProperties>
</file>

<file path=docProps/custom.xml><?xml version="1.0" encoding="utf-8"?>
<Properties xmlns="http://schemas.openxmlformats.org/officeDocument/2006/custom-properties" xmlns:vt="http://schemas.openxmlformats.org/officeDocument/2006/docPropsVTypes"/>
</file>